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snapToGrid/>
        <w:spacing w:line="240" w:lineRule="auto"/>
        <w:textAlignment w:val="auto"/>
        <w:rPr>
          <w:rFonts w:hint="eastAsia" w:ascii="宋体" w:hAnsi="宋体" w:eastAsia="宋体" w:cs="宋体"/>
          <w:b/>
          <w:sz w:val="24"/>
          <w:szCs w:val="24"/>
          <w:lang w:eastAsia="zh-CN"/>
        </w:rPr>
      </w:pPr>
      <w:r>
        <w:rPr>
          <w:rFonts w:hint="eastAsia" w:ascii="宋体" w:hAnsi="宋体" w:eastAsia="宋体" w:cs="宋体"/>
          <w:b/>
          <w:sz w:val="24"/>
          <w:szCs w:val="24"/>
          <w:lang w:eastAsia="zh-CN"/>
        </w:rPr>
        <w:drawing>
          <wp:anchor distT="0" distB="0" distL="114300" distR="114300" simplePos="0" relativeHeight="251659264" behindDoc="0" locked="0" layoutInCell="1" allowOverlap="1">
            <wp:simplePos x="0" y="0"/>
            <wp:positionH relativeFrom="column">
              <wp:posOffset>-724535</wp:posOffset>
            </wp:positionH>
            <wp:positionV relativeFrom="paragraph">
              <wp:posOffset>-746760</wp:posOffset>
            </wp:positionV>
            <wp:extent cx="7560310" cy="10692765"/>
            <wp:effectExtent l="0" t="0" r="2540" b="13335"/>
            <wp:wrapNone/>
            <wp:docPr id="1" name="图片 1" descr="C:\Users\Administrator\Desktop\人培方案封面.jpg人培方案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人培方案封面.jpg人培方案封面"/>
                    <pic:cNvPicPr>
                      <a:picLocks noChangeAspect="1"/>
                    </pic:cNvPicPr>
                  </pic:nvPicPr>
                  <pic:blipFill>
                    <a:blip r:embed="rId6"/>
                    <a:srcRect/>
                    <a:stretch>
                      <a:fillRect/>
                    </a:stretch>
                  </pic:blipFill>
                  <pic:spPr>
                    <a:xfrm>
                      <a:off x="0" y="0"/>
                      <a:ext cx="7560310" cy="10692765"/>
                    </a:xfrm>
                    <a:prstGeom prst="rect">
                      <a:avLst/>
                    </a:prstGeom>
                  </pic:spPr>
                </pic:pic>
              </a:graphicData>
            </a:graphic>
          </wp:anchor>
        </w:drawing>
      </w:r>
    </w:p>
    <w:p>
      <w:pPr>
        <w:pageBreakBefore w:val="0"/>
        <w:kinsoku/>
        <w:wordWrap/>
        <w:overflowPunct/>
        <w:topLinePunct w:val="0"/>
        <w:bidi w:val="0"/>
        <w:snapToGrid/>
        <w:spacing w:line="240" w:lineRule="auto"/>
        <w:textAlignment w:val="auto"/>
        <w:rPr>
          <w:rFonts w:hint="eastAsia" w:ascii="宋体" w:hAnsi="宋体" w:eastAsia="宋体" w:cs="宋体"/>
          <w:b/>
          <w:sz w:val="24"/>
          <w:szCs w:val="24"/>
        </w:rPr>
      </w:pPr>
    </w:p>
    <w:p>
      <w:pPr>
        <w:pageBreakBefore w:val="0"/>
        <w:widowControl/>
        <w:shd w:val="clear" w:color="auto" w:fill="FFFFFF"/>
        <w:kinsoku/>
        <w:wordWrap/>
        <w:overflowPunct/>
        <w:topLinePunct w:val="0"/>
        <w:bidi w:val="0"/>
        <w:snapToGrid/>
        <w:spacing w:line="240" w:lineRule="auto"/>
        <w:ind w:firstLine="420"/>
        <w:jc w:val="center"/>
        <w:textAlignment w:val="auto"/>
        <w:rPr>
          <w:rFonts w:hint="eastAsia" w:ascii="宋体" w:hAnsi="宋体" w:eastAsia="宋体" w:cs="宋体"/>
          <w:sz w:val="24"/>
          <w:szCs w:val="24"/>
        </w:rPr>
      </w:pPr>
    </w:p>
    <w:p>
      <w:pPr>
        <w:pageBreakBefore w:val="0"/>
        <w:widowControl/>
        <w:shd w:val="clear" w:color="auto" w:fill="FFFFFF"/>
        <w:kinsoku/>
        <w:wordWrap/>
        <w:overflowPunct/>
        <w:topLinePunct w:val="0"/>
        <w:bidi w:val="0"/>
        <w:snapToGrid/>
        <w:spacing w:line="240" w:lineRule="auto"/>
        <w:ind w:firstLine="420"/>
        <w:jc w:val="center"/>
        <w:textAlignment w:val="auto"/>
        <w:rPr>
          <w:rFonts w:hint="eastAsia" w:ascii="宋体" w:hAnsi="宋体" w:eastAsia="宋体" w:cs="宋体"/>
          <w:sz w:val="24"/>
          <w:szCs w:val="24"/>
        </w:rPr>
      </w:pPr>
    </w:p>
    <w:p>
      <w:pPr>
        <w:pageBreakBefore w:val="0"/>
        <w:widowControl/>
        <w:shd w:val="clear" w:color="auto" w:fill="FFFFFF"/>
        <w:kinsoku/>
        <w:wordWrap/>
        <w:overflowPunct/>
        <w:topLinePunct w:val="0"/>
        <w:bidi w:val="0"/>
        <w:snapToGrid/>
        <w:spacing w:line="240" w:lineRule="auto"/>
        <w:ind w:firstLine="420"/>
        <w:jc w:val="center"/>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ind w:firstLine="420"/>
        <w:jc w:val="center"/>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ind w:firstLine="420"/>
        <w:jc w:val="center"/>
        <w:textAlignment w:val="auto"/>
        <w:rPr>
          <w:rFonts w:hint="eastAsia" w:ascii="宋体" w:hAnsi="宋体" w:eastAsia="宋体" w:cs="宋体"/>
          <w:sz w:val="24"/>
          <w:szCs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-621030</wp:posOffset>
                </wp:positionH>
                <wp:positionV relativeFrom="paragraph">
                  <wp:posOffset>75565</wp:posOffset>
                </wp:positionV>
                <wp:extent cx="3390900" cy="694690"/>
                <wp:effectExtent l="0" t="0" r="0" b="0"/>
                <wp:wrapNone/>
                <wp:docPr id="5" name="矩形 5"/>
                <wp:cNvGraphicFramePr/>
                <a:graphic xmlns:a="http://schemas.openxmlformats.org/drawingml/2006/main">
                  <a:graphicData uri="http://schemas.microsoft.com/office/word/2010/wordprocessingShape">
                    <wps:wsp>
                      <wps:cNvSpPr/>
                      <wps:spPr>
                        <a:xfrm>
                          <a:off x="0" y="0"/>
                          <a:ext cx="3390900" cy="694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方正书宋简体"/>
                                <w:b/>
                                <w:bCs/>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专业代码：</w:t>
                            </w:r>
                            <w:r>
                              <w:rPr>
                                <w:rFonts w:hint="eastAsia"/>
                                <w:b/>
                                <w:bCs/>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700604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9pt;margin-top:5.95pt;height:54.7pt;width:267pt;z-index:251661312;v-text-anchor:middle;mso-width-relative:page;mso-height-relative:page;" filled="f" stroked="f" coordsize="21600,21600" o:gfxdata="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i5xRHZAAAACgEA&#10;AA8AAAAAAAAAAQAgAAAAIgAAAGRycy9kb3ducmV2LnhtbFBLAQIUABQAAAAIAIdO4kAHCZTmUgIA&#10;AJYEAAAOAAAAAAAAAAEAIAAAACgBAABkcnMvZTJvRG9jLnhtbFBLBQYAAAAABgAGAFkBAADsBQAA&#10;AAA=&#10;">
                <v:fill on="f" focussize="0,0"/>
                <v:stroke on="f" weight="2pt"/>
                <v:imagedata o:title=""/>
                <o:lock v:ext="edit" aspectratio="f"/>
                <v:textbox>
                  <w:txbxContent>
                    <w:p>
                      <w:pPr>
                        <w:jc w:val="center"/>
                        <w:rPr>
                          <w:rFonts w:hint="default" w:eastAsia="方正书宋简体"/>
                          <w:b/>
                          <w:bCs/>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专业代码：</w:t>
                      </w:r>
                      <w:r>
                        <w:rPr>
                          <w:rFonts w:hint="eastAsia"/>
                          <w:b/>
                          <w:bCs/>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700604</w:t>
                      </w:r>
                    </w:p>
                  </w:txbxContent>
                </v:textbox>
              </v:rect>
            </w:pict>
          </mc:Fallback>
        </mc:AlternateContent>
      </w:r>
    </w:p>
    <w:p>
      <w:pPr>
        <w:pageBreakBefore w:val="0"/>
        <w:kinsoku/>
        <w:wordWrap/>
        <w:overflowPunct/>
        <w:topLinePunct w:val="0"/>
        <w:bidi w:val="0"/>
        <w:snapToGrid/>
        <w:spacing w:line="240" w:lineRule="auto"/>
        <w:ind w:firstLine="420"/>
        <w:jc w:val="center"/>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ind w:firstLine="420"/>
        <w:jc w:val="center"/>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before="240" w:after="60" w:line="240" w:lineRule="auto"/>
        <w:jc w:val="center"/>
        <w:textAlignment w:val="auto"/>
        <w:outlineLvl w:val="0"/>
        <w:rPr>
          <w:rFonts w:hint="eastAsia" w:ascii="宋体" w:hAnsi="宋体" w:eastAsia="宋体" w:cs="宋体"/>
          <w:b/>
          <w:bCs/>
          <w:sz w:val="24"/>
          <w:szCs w:val="24"/>
        </w:rPr>
      </w:pPr>
      <w:bookmarkStart w:id="0" w:name="_Toc24295"/>
      <w:r>
        <w:rPr>
          <w:rFonts w:hint="eastAsia" w:ascii="宋体" w:hAnsi="宋体" w:eastAsia="宋体" w:cs="宋体"/>
          <w:b/>
          <w:bCs/>
          <w:sz w:val="24"/>
          <w:szCs w:val="24"/>
        </w:rPr>
        <w:t>前    言</w:t>
      </w:r>
      <w:bookmarkEnd w:id="0"/>
    </w:p>
    <w:p>
      <w:pPr>
        <w:pageBreakBefore w:val="0"/>
        <w:kinsoku/>
        <w:wordWrap/>
        <w:overflowPunct/>
        <w:topLinePunct w:val="0"/>
        <w:bidi w:val="0"/>
        <w:snapToGrid/>
        <w:spacing w:line="24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根据《关于职业院校专业人才培养方案制订与实施工作的指导意见》指导意见提出：“专业人才培养方案是职业院校落实党和国家关于技术技能人才培养总体要求，组织开展教学活动、安排教学任务的规范性文件，是实施专业人才培养和开展质量评价的基本依据。”当今社会中职学校中促进人的全面发展,提高职业教育的服务性、针对性尤为关键。促进中职教育的发展,提高中职教育质量,是牢固树立和全面落实科学发展观的必然要求。</w:t>
      </w:r>
    </w:p>
    <w:p>
      <w:pPr>
        <w:pageBreakBefore w:val="0"/>
        <w:kinsoku/>
        <w:wordWrap/>
        <w:overflowPunct/>
        <w:topLinePunct w:val="0"/>
        <w:bidi w:val="0"/>
        <w:snapToGrid/>
        <w:spacing w:line="240" w:lineRule="auto"/>
        <w:ind w:firstLine="480" w:firstLineChars="200"/>
        <w:jc w:val="left"/>
        <w:textAlignment w:val="auto"/>
        <w:rPr>
          <w:rFonts w:hint="eastAsia" w:ascii="宋体" w:hAnsi="宋体" w:eastAsia="宋体" w:cs="宋体"/>
          <w:b/>
          <w:sz w:val="24"/>
          <w:szCs w:val="24"/>
          <w:lang w:val="zh-CN"/>
        </w:rPr>
      </w:pPr>
      <w:r>
        <w:rPr>
          <w:rFonts w:hint="eastAsia" w:ascii="宋体" w:hAnsi="宋体" w:eastAsia="宋体" w:cs="宋体"/>
          <w:sz w:val="24"/>
          <w:szCs w:val="24"/>
        </w:rPr>
        <w:t>现代交通产业系轨道交通教研组经过长期的调研，针对社会需求，就人才培养目标规格、人才培养模式、专业设置和结构、课程结构和课时安排的情况，尤其是综合实训教学进行了</w:t>
      </w:r>
    </w:p>
    <w:p>
      <w:pPr>
        <w:pageBreakBefore w:val="0"/>
        <w:widowControl/>
        <w:kinsoku/>
        <w:wordWrap/>
        <w:overflowPunct/>
        <w:topLinePunct w:val="0"/>
        <w:bidi w:val="0"/>
        <w:snapToGrid/>
        <w:spacing w:line="240" w:lineRule="auto"/>
        <w:jc w:val="left"/>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17"/>
        <w:pageBreakBefore w:val="0"/>
        <w:kinsoku/>
        <w:wordWrap/>
        <w:overflowPunct/>
        <w:topLinePunct w:val="0"/>
        <w:bidi w:val="0"/>
        <w:snapToGrid/>
        <w:spacing w:before="0" w:line="240" w:lineRule="auto"/>
        <w:ind w:firstLine="420"/>
        <w:jc w:val="center"/>
        <w:textAlignment w:val="auto"/>
        <w:rPr>
          <w:rFonts w:hint="eastAsia" w:ascii="宋体" w:hAnsi="宋体" w:eastAsia="宋体" w:cs="宋体"/>
          <w:sz w:val="24"/>
          <w:szCs w:val="24"/>
        </w:rPr>
      </w:pPr>
    </w:p>
    <w:p>
      <w:pPr>
        <w:pStyle w:val="17"/>
        <w:pageBreakBefore w:val="0"/>
        <w:kinsoku/>
        <w:wordWrap/>
        <w:overflowPunct/>
        <w:topLinePunct w:val="0"/>
        <w:bidi w:val="0"/>
        <w:snapToGrid/>
        <w:spacing w:before="0" w:line="240" w:lineRule="auto"/>
        <w:ind w:firstLine="420"/>
        <w:jc w:val="center"/>
        <w:textAlignment w:val="auto"/>
        <w:rPr>
          <w:rFonts w:hint="eastAsia" w:ascii="宋体" w:hAnsi="宋体" w:eastAsia="宋体" w:cs="宋体"/>
          <w:sz w:val="24"/>
          <w:szCs w:val="24"/>
        </w:rPr>
      </w:pPr>
      <w:r>
        <w:drawing>
          <wp:inline distT="0" distB="0" distL="114300" distR="114300">
            <wp:extent cx="2352675" cy="1228725"/>
            <wp:effectExtent l="0" t="0" r="952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2352675" cy="1228725"/>
                    </a:xfrm>
                    <a:prstGeom prst="rect">
                      <a:avLst/>
                    </a:prstGeom>
                    <a:noFill/>
                    <a:ln>
                      <a:noFill/>
                    </a:ln>
                  </pic:spPr>
                </pic:pic>
              </a:graphicData>
            </a:graphic>
          </wp:inline>
        </w:drawing>
      </w:r>
    </w:p>
    <w:p>
      <w:pPr>
        <w:pStyle w:val="17"/>
        <w:pageBreakBefore w:val="0"/>
        <w:kinsoku/>
        <w:wordWrap/>
        <w:overflowPunct/>
        <w:topLinePunct w:val="0"/>
        <w:bidi w:val="0"/>
        <w:snapToGrid/>
        <w:spacing w:before="0" w:line="240" w:lineRule="auto"/>
        <w:ind w:firstLine="420"/>
        <w:jc w:val="center"/>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TOC \o "1-3" \h \z \u </w:instrText>
      </w:r>
      <w:r>
        <w:rPr>
          <w:rFonts w:hint="eastAsia" w:ascii="宋体" w:hAnsi="宋体" w:eastAsia="宋体" w:cs="宋体"/>
          <w:sz w:val="28"/>
          <w:szCs w:val="28"/>
        </w:rPr>
        <w:fldChar w:fldCharType="separate"/>
      </w:r>
    </w:p>
    <w:p>
      <w:pPr>
        <w:pStyle w:val="7"/>
        <w:pageBreakBefore w:val="0"/>
        <w:tabs>
          <w:tab w:val="right" w:leader="dot" w:pos="8306"/>
          <w:tab w:val="clear" w:pos="8296"/>
        </w:tabs>
        <w:kinsoku/>
        <w:wordWrap/>
        <w:overflowPunct/>
        <w:topLinePunct w:val="0"/>
        <w:bidi w:val="0"/>
        <w:snapToGrid/>
        <w:spacing w:line="24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"_Toc1277" </w:instrText>
      </w:r>
      <w:r>
        <w:rPr>
          <w:rFonts w:hint="eastAsia" w:ascii="宋体" w:hAnsi="宋体" w:eastAsia="宋体" w:cs="宋体"/>
          <w:sz w:val="28"/>
          <w:szCs w:val="28"/>
        </w:rPr>
        <w:fldChar w:fldCharType="separate"/>
      </w:r>
      <w:r>
        <w:rPr>
          <w:rFonts w:hint="eastAsia" w:ascii="宋体" w:hAnsi="宋体" w:eastAsia="宋体" w:cs="宋体"/>
          <w:sz w:val="28"/>
          <w:szCs w:val="28"/>
        </w:rPr>
        <w:t>一、专业名称（专业代码）</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sz w:val="28"/>
          <w:szCs w:val="28"/>
        </w:rPr>
        <w:t>1</w:t>
      </w:r>
    </w:p>
    <w:p>
      <w:pPr>
        <w:pStyle w:val="7"/>
        <w:pageBreakBefore w:val="0"/>
        <w:tabs>
          <w:tab w:val="right" w:leader="dot" w:pos="8306"/>
          <w:tab w:val="clear" w:pos="8296"/>
        </w:tabs>
        <w:kinsoku/>
        <w:wordWrap/>
        <w:overflowPunct/>
        <w:topLinePunct w:val="0"/>
        <w:bidi w:val="0"/>
        <w:snapToGrid/>
        <w:spacing w:line="24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"_Toc5931" </w:instrText>
      </w:r>
      <w:r>
        <w:rPr>
          <w:rFonts w:hint="eastAsia" w:ascii="宋体" w:hAnsi="宋体" w:eastAsia="宋体" w:cs="宋体"/>
          <w:sz w:val="28"/>
          <w:szCs w:val="28"/>
        </w:rPr>
        <w:fldChar w:fldCharType="separate"/>
      </w:r>
      <w:r>
        <w:rPr>
          <w:rFonts w:hint="eastAsia" w:ascii="宋体" w:hAnsi="宋体" w:eastAsia="宋体" w:cs="宋体"/>
          <w:sz w:val="28"/>
          <w:szCs w:val="28"/>
        </w:rPr>
        <w:t>二、入学要求</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sz w:val="28"/>
          <w:szCs w:val="28"/>
        </w:rPr>
        <w:t>1</w:t>
      </w:r>
    </w:p>
    <w:p>
      <w:pPr>
        <w:pStyle w:val="7"/>
        <w:pageBreakBefore w:val="0"/>
        <w:tabs>
          <w:tab w:val="right" w:leader="dot" w:pos="8306"/>
          <w:tab w:val="clear" w:pos="8296"/>
        </w:tabs>
        <w:kinsoku/>
        <w:wordWrap/>
        <w:overflowPunct/>
        <w:topLinePunct w:val="0"/>
        <w:bidi w:val="0"/>
        <w:snapToGrid/>
        <w:spacing w:line="24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"_Toc19649" </w:instrText>
      </w:r>
      <w:r>
        <w:rPr>
          <w:rFonts w:hint="eastAsia" w:ascii="宋体" w:hAnsi="宋体" w:eastAsia="宋体" w:cs="宋体"/>
          <w:sz w:val="28"/>
          <w:szCs w:val="28"/>
        </w:rPr>
        <w:fldChar w:fldCharType="separate"/>
      </w:r>
      <w:r>
        <w:rPr>
          <w:rFonts w:hint="eastAsia" w:ascii="宋体" w:hAnsi="宋体" w:eastAsia="宋体" w:cs="宋体"/>
          <w:sz w:val="28"/>
          <w:szCs w:val="28"/>
        </w:rPr>
        <w:t>三、基本学制</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sz w:val="28"/>
          <w:szCs w:val="28"/>
        </w:rPr>
        <w:t>1</w:t>
      </w:r>
    </w:p>
    <w:p>
      <w:pPr>
        <w:pStyle w:val="7"/>
        <w:pageBreakBefore w:val="0"/>
        <w:tabs>
          <w:tab w:val="right" w:leader="dot" w:pos="8306"/>
          <w:tab w:val="clear" w:pos="8296"/>
        </w:tabs>
        <w:kinsoku/>
        <w:wordWrap/>
        <w:overflowPunct/>
        <w:topLinePunct w:val="0"/>
        <w:bidi w:val="0"/>
        <w:snapToGrid/>
        <w:spacing w:line="24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"_Toc15180" </w:instrText>
      </w:r>
      <w:r>
        <w:rPr>
          <w:rFonts w:hint="eastAsia" w:ascii="宋体" w:hAnsi="宋体" w:eastAsia="宋体" w:cs="宋体"/>
          <w:sz w:val="28"/>
          <w:szCs w:val="28"/>
        </w:rPr>
        <w:fldChar w:fldCharType="separate"/>
      </w:r>
      <w:r>
        <w:rPr>
          <w:rFonts w:hint="eastAsia" w:ascii="宋体" w:hAnsi="宋体" w:eastAsia="宋体" w:cs="宋体"/>
          <w:sz w:val="28"/>
          <w:szCs w:val="28"/>
        </w:rPr>
        <w:t>四、培养目标</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sz w:val="28"/>
          <w:szCs w:val="28"/>
        </w:rPr>
        <w:t>1</w:t>
      </w:r>
    </w:p>
    <w:p>
      <w:pPr>
        <w:pStyle w:val="7"/>
        <w:pageBreakBefore w:val="0"/>
        <w:tabs>
          <w:tab w:val="right" w:leader="dot" w:pos="8306"/>
          <w:tab w:val="clear" w:pos="8296"/>
        </w:tabs>
        <w:kinsoku/>
        <w:wordWrap/>
        <w:overflowPunct/>
        <w:topLinePunct w:val="0"/>
        <w:bidi w:val="0"/>
        <w:snapToGrid/>
        <w:spacing w:line="24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"_Toc1719" </w:instrText>
      </w:r>
      <w:r>
        <w:rPr>
          <w:rFonts w:hint="eastAsia" w:ascii="宋体" w:hAnsi="宋体" w:eastAsia="宋体" w:cs="宋体"/>
          <w:sz w:val="28"/>
          <w:szCs w:val="28"/>
        </w:rPr>
        <w:fldChar w:fldCharType="separate"/>
      </w:r>
      <w:r>
        <w:rPr>
          <w:rFonts w:hint="eastAsia" w:ascii="宋体" w:hAnsi="宋体" w:eastAsia="宋体" w:cs="宋体"/>
          <w:sz w:val="28"/>
          <w:szCs w:val="28"/>
        </w:rPr>
        <w:t>五、职业范围</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sz w:val="28"/>
          <w:szCs w:val="28"/>
        </w:rPr>
        <w:t>1</w:t>
      </w:r>
    </w:p>
    <w:p>
      <w:pPr>
        <w:pStyle w:val="7"/>
        <w:pageBreakBefore w:val="0"/>
        <w:tabs>
          <w:tab w:val="right" w:leader="dot" w:pos="8306"/>
          <w:tab w:val="clear" w:pos="8296"/>
        </w:tabs>
        <w:kinsoku/>
        <w:wordWrap/>
        <w:overflowPunct/>
        <w:topLinePunct w:val="0"/>
        <w:bidi w:val="0"/>
        <w:snapToGrid/>
        <w:spacing w:line="24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"_Toc20612" </w:instrText>
      </w:r>
      <w:r>
        <w:rPr>
          <w:rFonts w:hint="eastAsia" w:ascii="宋体" w:hAnsi="宋体" w:eastAsia="宋体" w:cs="宋体"/>
          <w:sz w:val="28"/>
          <w:szCs w:val="28"/>
        </w:rPr>
        <w:fldChar w:fldCharType="separate"/>
      </w:r>
      <w:r>
        <w:rPr>
          <w:rFonts w:hint="eastAsia" w:ascii="宋体" w:hAnsi="宋体" w:eastAsia="宋体" w:cs="宋体"/>
          <w:sz w:val="28"/>
          <w:szCs w:val="28"/>
        </w:rPr>
        <w:t>六、人才规格</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sz w:val="28"/>
          <w:szCs w:val="28"/>
        </w:rPr>
        <w:t>1</w:t>
      </w:r>
    </w:p>
    <w:p>
      <w:pPr>
        <w:pStyle w:val="7"/>
        <w:pageBreakBefore w:val="0"/>
        <w:tabs>
          <w:tab w:val="right" w:leader="dot" w:pos="8306"/>
          <w:tab w:val="clear" w:pos="8296"/>
        </w:tabs>
        <w:kinsoku/>
        <w:wordWrap/>
        <w:overflowPunct/>
        <w:topLinePunct w:val="0"/>
        <w:bidi w:val="0"/>
        <w:snapToGrid/>
        <w:spacing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"_Toc23388" </w:instrText>
      </w:r>
      <w:r>
        <w:rPr>
          <w:rFonts w:hint="eastAsia" w:ascii="宋体" w:hAnsi="宋体" w:eastAsia="宋体" w:cs="宋体"/>
          <w:sz w:val="28"/>
          <w:szCs w:val="28"/>
        </w:rPr>
        <w:fldChar w:fldCharType="separate"/>
      </w:r>
      <w:r>
        <w:rPr>
          <w:rFonts w:hint="eastAsia" w:ascii="宋体" w:hAnsi="宋体" w:eastAsia="宋体" w:cs="宋体"/>
          <w:sz w:val="28"/>
          <w:szCs w:val="28"/>
        </w:rPr>
        <w:t>七、主要接续专业</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cs="宋体"/>
          <w:sz w:val="28"/>
          <w:szCs w:val="28"/>
          <w:lang w:val="en-US" w:eastAsia="zh-CN"/>
        </w:rPr>
        <w:t>2</w:t>
      </w:r>
      <w:bookmarkStart w:id="18" w:name="_GoBack"/>
      <w:bookmarkEnd w:id="18"/>
    </w:p>
    <w:p>
      <w:pPr>
        <w:pStyle w:val="7"/>
        <w:pageBreakBefore w:val="0"/>
        <w:tabs>
          <w:tab w:val="right" w:leader="dot" w:pos="8306"/>
          <w:tab w:val="clear" w:pos="8296"/>
        </w:tabs>
        <w:kinsoku/>
        <w:wordWrap/>
        <w:overflowPunct/>
        <w:topLinePunct w:val="0"/>
        <w:bidi w:val="0"/>
        <w:snapToGrid/>
        <w:spacing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"_Toc31946" </w:instrText>
      </w:r>
      <w:r>
        <w:rPr>
          <w:rFonts w:hint="eastAsia" w:ascii="宋体" w:hAnsi="宋体" w:eastAsia="宋体" w:cs="宋体"/>
          <w:sz w:val="28"/>
          <w:szCs w:val="28"/>
        </w:rPr>
        <w:fldChar w:fldCharType="separate"/>
      </w:r>
      <w:r>
        <w:rPr>
          <w:rFonts w:hint="eastAsia" w:ascii="宋体" w:hAnsi="宋体" w:eastAsia="宋体" w:cs="宋体"/>
          <w:sz w:val="28"/>
          <w:szCs w:val="28"/>
        </w:rPr>
        <w:t>八、课程结构</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2</w:t>
      </w:r>
    </w:p>
    <w:p>
      <w:pPr>
        <w:pStyle w:val="7"/>
        <w:pageBreakBefore w:val="0"/>
        <w:tabs>
          <w:tab w:val="right" w:leader="dot" w:pos="8306"/>
          <w:tab w:val="clear" w:pos="8296"/>
        </w:tabs>
        <w:kinsoku/>
        <w:wordWrap/>
        <w:overflowPunct/>
        <w:topLinePunct w:val="0"/>
        <w:bidi w:val="0"/>
        <w:snapToGrid/>
        <w:spacing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"_Toc8854" </w:instrText>
      </w:r>
      <w:r>
        <w:rPr>
          <w:rFonts w:hint="eastAsia" w:ascii="宋体" w:hAnsi="宋体" w:eastAsia="宋体" w:cs="宋体"/>
          <w:sz w:val="28"/>
          <w:szCs w:val="28"/>
        </w:rPr>
        <w:fldChar w:fldCharType="separate"/>
      </w:r>
      <w:r>
        <w:rPr>
          <w:rFonts w:hint="eastAsia" w:ascii="宋体" w:hAnsi="宋体" w:eastAsia="宋体" w:cs="宋体"/>
          <w:sz w:val="28"/>
          <w:szCs w:val="28"/>
        </w:rPr>
        <w:t>九、课程设置及要求</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cs="宋体"/>
          <w:sz w:val="28"/>
          <w:szCs w:val="28"/>
          <w:lang w:val="en-US" w:eastAsia="zh-CN"/>
        </w:rPr>
        <w:t>2</w:t>
      </w:r>
    </w:p>
    <w:p>
      <w:pPr>
        <w:pStyle w:val="7"/>
        <w:pageBreakBefore w:val="0"/>
        <w:tabs>
          <w:tab w:val="right" w:leader="dot" w:pos="8306"/>
          <w:tab w:val="clear" w:pos="8296"/>
        </w:tabs>
        <w:kinsoku/>
        <w:wordWrap/>
        <w:overflowPunct/>
        <w:topLinePunct w:val="0"/>
        <w:bidi w:val="0"/>
        <w:snapToGrid/>
        <w:spacing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"_Toc25375" </w:instrText>
      </w:r>
      <w:r>
        <w:rPr>
          <w:rFonts w:hint="eastAsia" w:ascii="宋体" w:hAnsi="宋体" w:eastAsia="宋体" w:cs="宋体"/>
          <w:sz w:val="28"/>
          <w:szCs w:val="28"/>
        </w:rPr>
        <w:fldChar w:fldCharType="separate"/>
      </w:r>
      <w:r>
        <w:rPr>
          <w:rFonts w:hint="eastAsia" w:ascii="宋体" w:hAnsi="宋体" w:eastAsia="宋体" w:cs="宋体"/>
          <w:sz w:val="28"/>
          <w:szCs w:val="28"/>
        </w:rPr>
        <w:t>十、教学时间安排</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cs="宋体"/>
          <w:sz w:val="28"/>
          <w:szCs w:val="28"/>
          <w:lang w:val="en-US" w:eastAsia="zh-CN"/>
        </w:rPr>
        <w:t>7</w:t>
      </w:r>
    </w:p>
    <w:p>
      <w:pPr>
        <w:pStyle w:val="7"/>
        <w:pageBreakBefore w:val="0"/>
        <w:tabs>
          <w:tab w:val="right" w:leader="dot" w:pos="8306"/>
          <w:tab w:val="clear" w:pos="8296"/>
        </w:tabs>
        <w:kinsoku/>
        <w:wordWrap/>
        <w:overflowPunct/>
        <w:topLinePunct w:val="0"/>
        <w:bidi w:val="0"/>
        <w:snapToGrid/>
        <w:spacing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"_Toc23340" </w:instrText>
      </w:r>
      <w:r>
        <w:rPr>
          <w:rFonts w:hint="eastAsia" w:ascii="宋体" w:hAnsi="宋体" w:eastAsia="宋体" w:cs="宋体"/>
          <w:sz w:val="28"/>
          <w:szCs w:val="28"/>
        </w:rPr>
        <w:fldChar w:fldCharType="separate"/>
      </w:r>
      <w:r>
        <w:rPr>
          <w:rFonts w:hint="eastAsia" w:ascii="宋体" w:hAnsi="宋体" w:eastAsia="宋体" w:cs="宋体"/>
          <w:sz w:val="28"/>
          <w:szCs w:val="28"/>
        </w:rPr>
        <w:t>十</w:t>
      </w:r>
      <w:r>
        <w:rPr>
          <w:rFonts w:hint="eastAsia" w:ascii="宋体" w:hAnsi="宋体" w:eastAsia="宋体" w:cs="宋体"/>
          <w:sz w:val="28"/>
          <w:szCs w:val="28"/>
          <w:lang w:val="en-US" w:eastAsia="zh-Hans"/>
        </w:rPr>
        <w:t>一</w:t>
      </w:r>
      <w:r>
        <w:rPr>
          <w:rFonts w:hint="eastAsia" w:ascii="宋体" w:hAnsi="宋体" w:eastAsia="宋体" w:cs="宋体"/>
          <w:sz w:val="28"/>
          <w:szCs w:val="28"/>
        </w:rPr>
        <w:t>、专业技能要求</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cs="宋体"/>
          <w:sz w:val="28"/>
          <w:szCs w:val="28"/>
          <w:lang w:val="en-US" w:eastAsia="zh-CN"/>
        </w:rPr>
        <w:t>8</w:t>
      </w:r>
    </w:p>
    <w:p>
      <w:pPr>
        <w:pStyle w:val="7"/>
        <w:pageBreakBefore w:val="0"/>
        <w:tabs>
          <w:tab w:val="right" w:leader="dot" w:pos="8306"/>
          <w:tab w:val="clear" w:pos="8296"/>
        </w:tabs>
        <w:kinsoku/>
        <w:wordWrap/>
        <w:overflowPunct/>
        <w:topLinePunct w:val="0"/>
        <w:bidi w:val="0"/>
        <w:snapToGrid/>
        <w:spacing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"_Toc6074" </w:instrText>
      </w:r>
      <w:r>
        <w:rPr>
          <w:rFonts w:hint="eastAsia" w:ascii="宋体" w:hAnsi="宋体" w:eastAsia="宋体" w:cs="宋体"/>
          <w:sz w:val="28"/>
          <w:szCs w:val="28"/>
        </w:rPr>
        <w:fldChar w:fldCharType="separate"/>
      </w:r>
      <w:r>
        <w:rPr>
          <w:rFonts w:hint="eastAsia" w:ascii="宋体" w:hAnsi="宋体" w:eastAsia="宋体" w:cs="宋体"/>
          <w:sz w:val="28"/>
          <w:szCs w:val="28"/>
        </w:rPr>
        <w:t>十</w:t>
      </w:r>
      <w:r>
        <w:rPr>
          <w:rFonts w:hint="eastAsia" w:ascii="宋体" w:hAnsi="宋体" w:eastAsia="宋体" w:cs="宋体"/>
          <w:sz w:val="28"/>
          <w:szCs w:val="28"/>
          <w:lang w:val="en-US" w:eastAsia="zh-Hans"/>
        </w:rPr>
        <w:t>二</w:t>
      </w:r>
      <w:r>
        <w:rPr>
          <w:rFonts w:hint="eastAsia" w:ascii="宋体" w:hAnsi="宋体" w:eastAsia="宋体" w:cs="宋体"/>
          <w:sz w:val="28"/>
          <w:szCs w:val="28"/>
        </w:rPr>
        <w:t>、教学实施</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cs="宋体"/>
          <w:sz w:val="28"/>
          <w:szCs w:val="28"/>
          <w:lang w:val="en-US" w:eastAsia="zh-CN"/>
        </w:rPr>
        <w:t>8</w:t>
      </w:r>
    </w:p>
    <w:p>
      <w:pPr>
        <w:pStyle w:val="7"/>
        <w:pageBreakBefore w:val="0"/>
        <w:tabs>
          <w:tab w:val="right" w:leader="dot" w:pos="8306"/>
          <w:tab w:val="clear" w:pos="8296"/>
        </w:tabs>
        <w:kinsoku/>
        <w:wordWrap/>
        <w:overflowPunct/>
        <w:topLinePunct w:val="0"/>
        <w:bidi w:val="0"/>
        <w:snapToGrid/>
        <w:spacing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"_Toc16094" </w:instrText>
      </w:r>
      <w:r>
        <w:rPr>
          <w:rFonts w:hint="eastAsia" w:ascii="宋体" w:hAnsi="宋体" w:eastAsia="宋体" w:cs="宋体"/>
          <w:sz w:val="28"/>
          <w:szCs w:val="28"/>
        </w:rPr>
        <w:fldChar w:fldCharType="separate"/>
      </w:r>
      <w:r>
        <w:rPr>
          <w:rFonts w:hint="eastAsia" w:ascii="宋体" w:hAnsi="宋体" w:eastAsia="宋体" w:cs="宋体"/>
          <w:sz w:val="28"/>
          <w:szCs w:val="28"/>
        </w:rPr>
        <w:t>十</w:t>
      </w:r>
      <w:r>
        <w:rPr>
          <w:rFonts w:hint="eastAsia" w:ascii="宋体" w:hAnsi="宋体" w:eastAsia="宋体" w:cs="宋体"/>
          <w:sz w:val="28"/>
          <w:szCs w:val="28"/>
          <w:lang w:val="en-US" w:eastAsia="zh-Hans"/>
        </w:rPr>
        <w:t>三</w:t>
      </w:r>
      <w:r>
        <w:rPr>
          <w:rFonts w:hint="eastAsia" w:ascii="宋体" w:hAnsi="宋体" w:eastAsia="宋体" w:cs="宋体"/>
          <w:sz w:val="28"/>
          <w:szCs w:val="28"/>
        </w:rPr>
        <w:t>、教学评价</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cs="宋体"/>
          <w:sz w:val="28"/>
          <w:szCs w:val="28"/>
          <w:lang w:val="en-US" w:eastAsia="zh-CN"/>
        </w:rPr>
        <w:t>8</w:t>
      </w:r>
    </w:p>
    <w:p>
      <w:pPr>
        <w:pStyle w:val="7"/>
        <w:pageBreakBefore w:val="0"/>
        <w:tabs>
          <w:tab w:val="right" w:leader="dot" w:pos="8306"/>
          <w:tab w:val="clear" w:pos="8296"/>
        </w:tabs>
        <w:kinsoku/>
        <w:wordWrap/>
        <w:overflowPunct/>
        <w:topLinePunct w:val="0"/>
        <w:bidi w:val="0"/>
        <w:snapToGrid/>
        <w:spacing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"_Toc4663" </w:instrText>
      </w:r>
      <w:r>
        <w:rPr>
          <w:rFonts w:hint="eastAsia" w:ascii="宋体" w:hAnsi="宋体" w:eastAsia="宋体" w:cs="宋体"/>
          <w:sz w:val="28"/>
          <w:szCs w:val="28"/>
        </w:rPr>
        <w:fldChar w:fldCharType="separate"/>
      </w:r>
      <w:r>
        <w:rPr>
          <w:rFonts w:hint="eastAsia" w:ascii="宋体" w:hAnsi="宋体" w:eastAsia="宋体" w:cs="宋体"/>
          <w:sz w:val="28"/>
          <w:szCs w:val="28"/>
        </w:rPr>
        <w:t>十</w:t>
      </w:r>
      <w:r>
        <w:rPr>
          <w:rFonts w:hint="eastAsia" w:ascii="宋体" w:hAnsi="宋体" w:eastAsia="宋体" w:cs="宋体"/>
          <w:sz w:val="28"/>
          <w:szCs w:val="28"/>
          <w:lang w:val="en-US" w:eastAsia="zh-Hans"/>
        </w:rPr>
        <w:t>四</w:t>
      </w:r>
      <w:r>
        <w:rPr>
          <w:rFonts w:hint="eastAsia" w:ascii="宋体" w:hAnsi="宋体" w:eastAsia="宋体" w:cs="宋体"/>
          <w:sz w:val="28"/>
          <w:szCs w:val="28"/>
        </w:rPr>
        <w:t>、实训实习环境</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cs="宋体"/>
          <w:sz w:val="28"/>
          <w:szCs w:val="28"/>
          <w:lang w:val="en-US" w:eastAsia="zh-CN"/>
        </w:rPr>
        <w:t>8</w:t>
      </w:r>
    </w:p>
    <w:p>
      <w:pPr>
        <w:pStyle w:val="7"/>
        <w:pageBreakBefore w:val="0"/>
        <w:tabs>
          <w:tab w:val="right" w:leader="dot" w:pos="8306"/>
          <w:tab w:val="clear" w:pos="8296"/>
        </w:tabs>
        <w:kinsoku/>
        <w:wordWrap/>
        <w:overflowPunct/>
        <w:topLinePunct w:val="0"/>
        <w:bidi w:val="0"/>
        <w:snapToGrid/>
        <w:spacing w:line="240" w:lineRule="auto"/>
        <w:textAlignment w:val="auto"/>
        <w:rPr>
          <w:rFonts w:hint="default" w:ascii="宋体" w:hAnsi="宋体" w:eastAsia="宋体" w:cs="宋体"/>
          <w:sz w:val="28"/>
          <w:szCs w:val="28"/>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"_Toc24651" </w:instrText>
      </w:r>
      <w:r>
        <w:rPr>
          <w:rFonts w:hint="eastAsia" w:ascii="宋体" w:hAnsi="宋体" w:eastAsia="宋体" w:cs="宋体"/>
          <w:sz w:val="28"/>
          <w:szCs w:val="28"/>
        </w:rPr>
        <w:fldChar w:fldCharType="separate"/>
      </w:r>
      <w:r>
        <w:rPr>
          <w:rFonts w:hint="eastAsia" w:ascii="宋体" w:hAnsi="宋体" w:eastAsia="宋体" w:cs="宋体"/>
          <w:sz w:val="28"/>
          <w:szCs w:val="28"/>
        </w:rPr>
        <w:t>十</w:t>
      </w:r>
      <w:r>
        <w:rPr>
          <w:rFonts w:hint="eastAsia" w:ascii="宋体" w:hAnsi="宋体" w:eastAsia="宋体" w:cs="宋体"/>
          <w:sz w:val="28"/>
          <w:szCs w:val="28"/>
          <w:lang w:val="en-US" w:eastAsia="zh-Hans"/>
        </w:rPr>
        <w:t>五</w:t>
      </w:r>
      <w:r>
        <w:rPr>
          <w:rFonts w:hint="eastAsia" w:ascii="宋体" w:hAnsi="宋体" w:eastAsia="宋体" w:cs="宋体"/>
          <w:sz w:val="28"/>
          <w:szCs w:val="28"/>
        </w:rPr>
        <w:t>、专业师资</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cs="宋体"/>
          <w:sz w:val="28"/>
          <w:szCs w:val="28"/>
          <w:lang w:val="en-US" w:eastAsia="zh-CN"/>
        </w:rPr>
        <w:t>10</w:t>
      </w:r>
    </w:p>
    <w:p>
      <w:pPr>
        <w:pStyle w:val="7"/>
        <w:pageBreakBefore w:val="0"/>
        <w:tabs>
          <w:tab w:val="right" w:leader="dot" w:pos="8306"/>
          <w:tab w:val="clear" w:pos="8296"/>
        </w:tabs>
        <w:kinsoku/>
        <w:wordWrap/>
        <w:overflowPunct/>
        <w:topLinePunct w:val="0"/>
        <w:bidi w:val="0"/>
        <w:snapToGrid/>
        <w:spacing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"_Toc30307" </w:instrText>
      </w:r>
      <w:r>
        <w:rPr>
          <w:rFonts w:hint="eastAsia" w:ascii="宋体" w:hAnsi="宋体" w:eastAsia="宋体" w:cs="宋体"/>
          <w:sz w:val="28"/>
          <w:szCs w:val="28"/>
        </w:rPr>
        <w:fldChar w:fldCharType="separate"/>
      </w:r>
      <w:r>
        <w:rPr>
          <w:rFonts w:hint="eastAsia" w:ascii="宋体" w:hAnsi="宋体" w:eastAsia="宋体" w:cs="宋体"/>
          <w:sz w:val="28"/>
          <w:szCs w:val="28"/>
        </w:rPr>
        <w:t>十</w:t>
      </w:r>
      <w:r>
        <w:rPr>
          <w:rFonts w:hint="eastAsia" w:ascii="宋体" w:hAnsi="宋体" w:eastAsia="宋体" w:cs="宋体"/>
          <w:sz w:val="28"/>
          <w:szCs w:val="28"/>
          <w:lang w:val="en-US" w:eastAsia="zh-Hans"/>
        </w:rPr>
        <w:t>六</w:t>
      </w:r>
      <w:r>
        <w:rPr>
          <w:rFonts w:hint="eastAsia" w:ascii="宋体" w:hAnsi="宋体" w:eastAsia="宋体" w:cs="宋体"/>
          <w:sz w:val="28"/>
          <w:szCs w:val="28"/>
        </w:rPr>
        <w:t>、其他</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sz w:val="28"/>
          <w:szCs w:val="28"/>
        </w:rPr>
        <w:t>1</w:t>
      </w:r>
      <w:r>
        <w:rPr>
          <w:rFonts w:hint="eastAsia" w:ascii="宋体" w:hAnsi="宋体" w:cs="宋体"/>
          <w:sz w:val="28"/>
          <w:szCs w:val="28"/>
          <w:lang w:val="en-US" w:eastAsia="zh-CN"/>
        </w:rPr>
        <w:t>0</w:t>
      </w:r>
    </w:p>
    <w:p>
      <w:pPr>
        <w:pStyle w:val="7"/>
        <w:pageBreakBefore w:val="0"/>
        <w:tabs>
          <w:tab w:val="right" w:leader="dot" w:pos="8306"/>
          <w:tab w:val="clear" w:pos="8296"/>
        </w:tabs>
        <w:kinsoku/>
        <w:wordWrap/>
        <w:overflowPunct/>
        <w:topLinePunct w:val="0"/>
        <w:bidi w:val="0"/>
        <w:snapToGrid/>
        <w:spacing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"_Toc26893" </w:instrText>
      </w:r>
      <w:r>
        <w:rPr>
          <w:rFonts w:hint="eastAsia" w:ascii="宋体" w:hAnsi="宋体" w:eastAsia="宋体" w:cs="宋体"/>
          <w:sz w:val="28"/>
          <w:szCs w:val="28"/>
        </w:rPr>
        <w:fldChar w:fldCharType="separate"/>
      </w:r>
      <w:r>
        <w:rPr>
          <w:rFonts w:hint="eastAsia" w:ascii="宋体" w:hAnsi="宋体" w:eastAsia="宋体" w:cs="宋体"/>
          <w:sz w:val="28"/>
          <w:szCs w:val="28"/>
        </w:rPr>
        <w:t>十</w:t>
      </w:r>
      <w:r>
        <w:rPr>
          <w:rFonts w:hint="eastAsia" w:ascii="宋体" w:hAnsi="宋体" w:eastAsia="宋体" w:cs="宋体"/>
          <w:sz w:val="28"/>
          <w:szCs w:val="28"/>
          <w:lang w:val="en-US" w:eastAsia="zh-Hans"/>
        </w:rPr>
        <w:t>七</w:t>
      </w:r>
      <w:r>
        <w:rPr>
          <w:rFonts w:hint="eastAsia" w:ascii="宋体" w:hAnsi="宋体" w:eastAsia="宋体" w:cs="宋体"/>
          <w:sz w:val="28"/>
          <w:szCs w:val="28"/>
        </w:rPr>
        <w:t>、 课程地图</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sz w:val="28"/>
          <w:szCs w:val="28"/>
        </w:rPr>
        <w:t>1</w:t>
      </w:r>
      <w:r>
        <w:rPr>
          <w:rFonts w:hint="eastAsia" w:ascii="宋体" w:hAnsi="宋体" w:cs="宋体"/>
          <w:sz w:val="28"/>
          <w:szCs w:val="28"/>
          <w:lang w:val="en-US" w:eastAsia="zh-CN"/>
        </w:rPr>
        <w:t>1</w:t>
      </w:r>
    </w:p>
    <w:p>
      <w:pPr>
        <w:pageBreakBefore w:val="0"/>
        <w:kinsoku/>
        <w:wordWrap/>
        <w:overflowPunct/>
        <w:topLinePunct w:val="0"/>
        <w:bidi w:val="0"/>
        <w:snapToGrid/>
        <w:spacing w:line="240" w:lineRule="auto"/>
        <w:ind w:firstLine="560"/>
        <w:textAlignment w:val="auto"/>
        <w:rPr>
          <w:rFonts w:hint="eastAsia" w:ascii="宋体" w:hAnsi="宋体" w:eastAsia="宋体" w:cs="宋体"/>
          <w:sz w:val="28"/>
          <w:szCs w:val="28"/>
        </w:rPr>
        <w:sectPr>
          <w:headerReference r:id="rId3" w:type="default"/>
          <w:pgSz w:w="11906" w:h="16838"/>
          <w:pgMar w:top="1134" w:right="1134" w:bottom="1134" w:left="1134" w:header="851" w:footer="992" w:gutter="0"/>
          <w:cols w:space="720" w:num="1"/>
          <w:docGrid w:type="lines" w:linePitch="312" w:charSpace="0"/>
        </w:sectPr>
      </w:pPr>
      <w:r>
        <w:rPr>
          <w:rFonts w:hint="eastAsia" w:ascii="宋体" w:hAnsi="宋体" w:eastAsia="宋体" w:cs="宋体"/>
          <w:bCs/>
          <w:sz w:val="28"/>
          <w:szCs w:val="28"/>
          <w:lang w:val="zh-CN"/>
        </w:rPr>
        <w:fldChar w:fldCharType="end"/>
      </w:r>
    </w:p>
    <w:p>
      <w:pPr>
        <w:pageBreakBefore w:val="0"/>
        <w:kinsoku/>
        <w:wordWrap/>
        <w:overflowPunct/>
        <w:topLinePunct w:val="0"/>
        <w:bidi w:val="0"/>
        <w:snapToGrid/>
        <w:spacing w:line="240" w:lineRule="auto"/>
        <w:ind w:firstLine="643" w:firstLineChars="200"/>
        <w:jc w:val="center"/>
        <w:textAlignment w:val="auto"/>
        <w:rPr>
          <w:rFonts w:hint="eastAsia" w:ascii="宋体" w:hAnsi="宋体" w:eastAsia="宋体" w:cs="宋体"/>
          <w:color w:val="000000"/>
          <w:sz w:val="32"/>
          <w:szCs w:val="32"/>
        </w:rPr>
      </w:pPr>
      <w:r>
        <w:rPr>
          <w:rFonts w:hint="eastAsia" w:ascii="宋体" w:hAnsi="宋体" w:eastAsia="宋体" w:cs="宋体"/>
          <w:b/>
          <w:bCs/>
          <w:sz w:val="32"/>
          <w:szCs w:val="32"/>
          <w:lang w:val="zh-CN"/>
        </w:rPr>
        <w:t>中等职业学校城市轨道交通运营服务专业教学标准（试行）</w:t>
      </w:r>
    </w:p>
    <w:p>
      <w:pPr>
        <w:pStyle w:val="2"/>
        <w:pageBreakBefore w:val="0"/>
        <w:kinsoku/>
        <w:wordWrap/>
        <w:overflowPunct/>
        <w:topLinePunct w:val="0"/>
        <w:bidi w:val="0"/>
        <w:snapToGrid/>
        <w:spacing w:line="240" w:lineRule="auto"/>
        <w:textAlignment w:val="auto"/>
        <w:rPr>
          <w:rFonts w:hint="eastAsia" w:ascii="宋体" w:hAnsi="宋体" w:eastAsia="宋体" w:cs="宋体"/>
          <w:sz w:val="24"/>
          <w:szCs w:val="24"/>
        </w:rPr>
      </w:pPr>
      <w:bookmarkStart w:id="1" w:name="_Toc1277"/>
      <w:r>
        <w:rPr>
          <w:rFonts w:hint="eastAsia" w:ascii="宋体" w:hAnsi="宋体" w:eastAsia="宋体" w:cs="宋体"/>
          <w:sz w:val="24"/>
          <w:szCs w:val="24"/>
        </w:rPr>
        <w:t>一、专业名称（专业代码）</w:t>
      </w:r>
      <w:bookmarkEnd w:id="1"/>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城市轨道交通运营服务（</w:t>
      </w:r>
      <w:r>
        <w:rPr>
          <w:rFonts w:hint="eastAsia" w:ascii="宋体" w:hAnsi="宋体" w:cs="宋体"/>
          <w:bCs/>
          <w:color w:val="000000"/>
          <w:sz w:val="24"/>
          <w:szCs w:val="24"/>
          <w:lang w:val="en-US" w:eastAsia="zh-CN"/>
        </w:rPr>
        <w:t>700604</w:t>
      </w:r>
      <w:r>
        <w:rPr>
          <w:rFonts w:hint="eastAsia" w:ascii="宋体" w:hAnsi="宋体" w:eastAsia="宋体" w:cs="宋体"/>
          <w:bCs/>
          <w:color w:val="000000"/>
          <w:sz w:val="24"/>
          <w:szCs w:val="24"/>
        </w:rPr>
        <w:t xml:space="preserve">） </w:t>
      </w:r>
    </w:p>
    <w:p>
      <w:pPr>
        <w:pStyle w:val="2"/>
        <w:pageBreakBefore w:val="0"/>
        <w:kinsoku/>
        <w:wordWrap/>
        <w:overflowPunct/>
        <w:topLinePunct w:val="0"/>
        <w:bidi w:val="0"/>
        <w:snapToGrid/>
        <w:spacing w:line="240" w:lineRule="auto"/>
        <w:textAlignment w:val="auto"/>
        <w:rPr>
          <w:rFonts w:hint="eastAsia" w:ascii="宋体" w:hAnsi="宋体" w:eastAsia="宋体" w:cs="宋体"/>
          <w:sz w:val="24"/>
          <w:szCs w:val="24"/>
        </w:rPr>
      </w:pPr>
      <w:bookmarkStart w:id="2" w:name="_Toc5931"/>
      <w:r>
        <w:rPr>
          <w:rFonts w:hint="eastAsia" w:ascii="宋体" w:hAnsi="宋体" w:eastAsia="宋体" w:cs="宋体"/>
          <w:sz w:val="24"/>
          <w:szCs w:val="24"/>
        </w:rPr>
        <w:t>二、入学要求</w:t>
      </w:r>
      <w:bookmarkEnd w:id="2"/>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bCs/>
          <w:color w:val="000000"/>
          <w:sz w:val="24"/>
          <w:szCs w:val="24"/>
        </w:rPr>
        <w:t>初中毕业生或具有同等学力</w:t>
      </w:r>
    </w:p>
    <w:p>
      <w:pPr>
        <w:pStyle w:val="2"/>
        <w:pageBreakBefore w:val="0"/>
        <w:kinsoku/>
        <w:wordWrap/>
        <w:overflowPunct/>
        <w:topLinePunct w:val="0"/>
        <w:bidi w:val="0"/>
        <w:snapToGrid/>
        <w:spacing w:line="240" w:lineRule="auto"/>
        <w:textAlignment w:val="auto"/>
        <w:rPr>
          <w:rFonts w:hint="eastAsia" w:ascii="宋体" w:hAnsi="宋体" w:eastAsia="宋体" w:cs="宋体"/>
          <w:sz w:val="24"/>
          <w:szCs w:val="24"/>
        </w:rPr>
      </w:pPr>
      <w:bookmarkStart w:id="3" w:name="_Toc19649"/>
      <w:r>
        <w:rPr>
          <w:rFonts w:hint="eastAsia" w:ascii="宋体" w:hAnsi="宋体" w:eastAsia="宋体" w:cs="宋体"/>
          <w:sz w:val="24"/>
          <w:szCs w:val="24"/>
        </w:rPr>
        <w:t>三、基本学制</w:t>
      </w:r>
      <w:bookmarkEnd w:id="3"/>
    </w:p>
    <w:p>
      <w:pPr>
        <w:pageBreakBefore w:val="0"/>
        <w:kinsoku/>
        <w:wordWrap/>
        <w:overflowPunct/>
        <w:topLinePunct w:val="0"/>
        <w:bidi w:val="0"/>
        <w:snapToGrid/>
        <w:spacing w:line="240" w:lineRule="auto"/>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bCs/>
          <w:color w:val="000000"/>
          <w:sz w:val="24"/>
          <w:szCs w:val="24"/>
        </w:rPr>
        <w:t>3</w:t>
      </w:r>
      <w:r>
        <w:rPr>
          <w:rFonts w:hint="eastAsia" w:ascii="宋体" w:hAnsi="宋体" w:eastAsia="宋体" w:cs="宋体"/>
          <w:bCs/>
          <w:color w:val="000000"/>
          <w:sz w:val="24"/>
          <w:szCs w:val="24"/>
        </w:rPr>
        <w:t>年</w:t>
      </w:r>
    </w:p>
    <w:p>
      <w:pPr>
        <w:pStyle w:val="2"/>
        <w:pageBreakBefore w:val="0"/>
        <w:kinsoku/>
        <w:wordWrap/>
        <w:overflowPunct/>
        <w:topLinePunct w:val="0"/>
        <w:bidi w:val="0"/>
        <w:snapToGrid/>
        <w:spacing w:line="240" w:lineRule="auto"/>
        <w:textAlignment w:val="auto"/>
        <w:rPr>
          <w:rFonts w:hint="eastAsia" w:ascii="宋体" w:hAnsi="宋体" w:eastAsia="宋体" w:cs="宋体"/>
          <w:sz w:val="24"/>
          <w:szCs w:val="24"/>
        </w:rPr>
      </w:pPr>
      <w:bookmarkStart w:id="4" w:name="_Toc15180"/>
      <w:r>
        <w:rPr>
          <w:rFonts w:hint="eastAsia" w:ascii="宋体" w:hAnsi="宋体" w:eastAsia="宋体" w:cs="宋体"/>
          <w:sz w:val="24"/>
          <w:szCs w:val="24"/>
        </w:rPr>
        <w:t>四、培养目标</w:t>
      </w:r>
      <w:bookmarkEnd w:id="4"/>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本专业坚持立德树人，面向城市轨道交通运营管理企业的运营服务部门，培养从事城市轨道交通客运组织、行车组织、票务组织、客运服务、车站管理等工作，德智体美全面发展的高素质劳动者和技能型人才。</w:t>
      </w:r>
    </w:p>
    <w:p>
      <w:pPr>
        <w:pStyle w:val="2"/>
        <w:pageBreakBefore w:val="0"/>
        <w:kinsoku/>
        <w:wordWrap/>
        <w:overflowPunct/>
        <w:topLinePunct w:val="0"/>
        <w:bidi w:val="0"/>
        <w:snapToGrid/>
        <w:spacing w:line="240" w:lineRule="auto"/>
        <w:textAlignment w:val="auto"/>
        <w:rPr>
          <w:rFonts w:hint="eastAsia" w:ascii="宋体" w:hAnsi="宋体" w:eastAsia="宋体" w:cs="宋体"/>
          <w:sz w:val="24"/>
          <w:szCs w:val="24"/>
        </w:rPr>
      </w:pPr>
      <w:bookmarkStart w:id="5" w:name="_Toc1719"/>
      <w:r>
        <w:rPr>
          <w:rFonts w:hint="eastAsia" w:ascii="宋体" w:hAnsi="宋体" w:eastAsia="宋体" w:cs="宋体"/>
          <w:sz w:val="24"/>
          <w:szCs w:val="24"/>
        </w:rPr>
        <w:t>五、职业范围</w:t>
      </w:r>
      <w:bookmarkEnd w:id="5"/>
    </w:p>
    <w:tbl>
      <w:tblPr>
        <w:tblStyle w:val="9"/>
        <w:tblW w:w="9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182"/>
        <w:gridCol w:w="3420"/>
        <w:gridCol w:w="2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序号</w:t>
            </w:r>
          </w:p>
        </w:tc>
        <w:tc>
          <w:tcPr>
            <w:tcW w:w="2182" w:type="dxa"/>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对应职业（岗位）</w:t>
            </w:r>
          </w:p>
        </w:tc>
        <w:tc>
          <w:tcPr>
            <w:tcW w:w="3420" w:type="dxa"/>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职业资格证书</w:t>
            </w:r>
          </w:p>
        </w:tc>
        <w:tc>
          <w:tcPr>
            <w:tcW w:w="2805" w:type="dxa"/>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专业（技能）方向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w:t>
            </w:r>
          </w:p>
        </w:tc>
        <w:tc>
          <w:tcPr>
            <w:tcW w:w="2182" w:type="dxa"/>
          </w:tcPr>
          <w:p>
            <w:pPr>
              <w:pageBreakBefore w:val="0"/>
              <w:kinsoku/>
              <w:wordWrap/>
              <w:overflowPunct/>
              <w:topLinePunct w:val="0"/>
              <w:bidi w:val="0"/>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车站站务员</w:t>
            </w:r>
          </w:p>
        </w:tc>
        <w:tc>
          <w:tcPr>
            <w:tcW w:w="3420" w:type="dxa"/>
          </w:tcPr>
          <w:p>
            <w:pPr>
              <w:pageBreakBefore w:val="0"/>
              <w:kinsoku/>
              <w:wordWrap/>
              <w:overflowPunct/>
              <w:topLinePunct w:val="0"/>
              <w:bidi w:val="0"/>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车站站务员</w:t>
            </w:r>
          </w:p>
        </w:tc>
        <w:tc>
          <w:tcPr>
            <w:tcW w:w="2805" w:type="dxa"/>
          </w:tcPr>
          <w:p>
            <w:pPr>
              <w:pageBreakBefore w:val="0"/>
              <w:kinsoku/>
              <w:wordWrap/>
              <w:overflowPunct/>
              <w:topLinePunct w:val="0"/>
              <w:bidi w:val="0"/>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城市轨道交通客运服务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w:t>
            </w:r>
          </w:p>
        </w:tc>
        <w:tc>
          <w:tcPr>
            <w:tcW w:w="2182" w:type="dxa"/>
          </w:tcPr>
          <w:p>
            <w:pPr>
              <w:pageBreakBefore w:val="0"/>
              <w:kinsoku/>
              <w:wordWrap/>
              <w:overflowPunct/>
              <w:topLinePunct w:val="0"/>
              <w:bidi w:val="0"/>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车站值班员</w:t>
            </w:r>
          </w:p>
        </w:tc>
        <w:tc>
          <w:tcPr>
            <w:tcW w:w="3420" w:type="dxa"/>
          </w:tcPr>
          <w:p>
            <w:pPr>
              <w:pageBreakBefore w:val="0"/>
              <w:kinsoku/>
              <w:wordWrap/>
              <w:overflowPunct/>
              <w:topLinePunct w:val="0"/>
              <w:bidi w:val="0"/>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车站行车作业员（车站值班员）</w:t>
            </w:r>
          </w:p>
        </w:tc>
        <w:tc>
          <w:tcPr>
            <w:tcW w:w="2805" w:type="dxa"/>
          </w:tcPr>
          <w:p>
            <w:pPr>
              <w:pageBreakBefore w:val="0"/>
              <w:kinsoku/>
              <w:wordWrap/>
              <w:overflowPunct/>
              <w:topLinePunct w:val="0"/>
              <w:bidi w:val="0"/>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城市轨道交通车站管理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6" w:type="dxa"/>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w:t>
            </w:r>
          </w:p>
        </w:tc>
        <w:tc>
          <w:tcPr>
            <w:tcW w:w="2182" w:type="dxa"/>
          </w:tcPr>
          <w:p>
            <w:pPr>
              <w:pageBreakBefore w:val="0"/>
              <w:kinsoku/>
              <w:wordWrap/>
              <w:overflowPunct/>
              <w:topLinePunct w:val="0"/>
              <w:bidi w:val="0"/>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行车调度员</w:t>
            </w:r>
          </w:p>
        </w:tc>
        <w:tc>
          <w:tcPr>
            <w:tcW w:w="3420" w:type="dxa"/>
          </w:tcPr>
          <w:p>
            <w:pPr>
              <w:pageBreakBefore w:val="0"/>
              <w:kinsoku/>
              <w:wordWrap/>
              <w:overflowPunct/>
              <w:topLinePunct w:val="0"/>
              <w:bidi w:val="0"/>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控制中心行车调度员</w:t>
            </w:r>
          </w:p>
        </w:tc>
        <w:tc>
          <w:tcPr>
            <w:tcW w:w="2805" w:type="dxa"/>
          </w:tcPr>
          <w:p>
            <w:pPr>
              <w:pageBreakBefore w:val="0"/>
              <w:kinsoku/>
              <w:wordWrap/>
              <w:overflowPunct/>
              <w:topLinePunct w:val="0"/>
              <w:bidi w:val="0"/>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城市轨道交通调度管理</w:t>
            </w:r>
          </w:p>
        </w:tc>
      </w:tr>
    </w:tbl>
    <w:p>
      <w:pPr>
        <w:pStyle w:val="2"/>
        <w:pageBreakBefore w:val="0"/>
        <w:kinsoku/>
        <w:wordWrap/>
        <w:overflowPunct/>
        <w:topLinePunct w:val="0"/>
        <w:bidi w:val="0"/>
        <w:snapToGrid/>
        <w:spacing w:line="240" w:lineRule="auto"/>
        <w:textAlignment w:val="auto"/>
        <w:rPr>
          <w:rFonts w:hint="eastAsia" w:ascii="宋体" w:hAnsi="宋体" w:eastAsia="宋体" w:cs="宋体"/>
          <w:sz w:val="24"/>
          <w:szCs w:val="24"/>
        </w:rPr>
      </w:pPr>
      <w:bookmarkStart w:id="6" w:name="_Toc20612"/>
      <w:r>
        <w:rPr>
          <w:rFonts w:hint="eastAsia" w:ascii="宋体" w:hAnsi="宋体" w:eastAsia="宋体" w:cs="宋体"/>
          <w:sz w:val="24"/>
          <w:szCs w:val="24"/>
        </w:rPr>
        <w:t>六、人才规格</w:t>
      </w:r>
      <w:bookmarkEnd w:id="6"/>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bCs/>
          <w:color w:val="000000"/>
          <w:sz w:val="24"/>
          <w:szCs w:val="24"/>
        </w:rPr>
        <w:t>本专业毕业生应具有以下职业素养、专业知识和技能：</w:t>
      </w:r>
    </w:p>
    <w:p>
      <w:pPr>
        <w:pStyle w:val="3"/>
        <w:pageBreakBefore w:val="0"/>
        <w:kinsoku/>
        <w:wordWrap/>
        <w:overflowPunct/>
        <w:topLinePunct w:val="0"/>
        <w:bidi w:val="0"/>
        <w:snapToGrid/>
        <w:spacing w:line="240" w:lineRule="auto"/>
        <w:ind w:firstLine="240" w:firstLineChars="1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eastAsia="zh-CN" w:bidi="ar-SA"/>
        </w:rPr>
        <w:t>（</w:t>
      </w:r>
      <w:r>
        <w:rPr>
          <w:rFonts w:hint="eastAsia" w:ascii="宋体" w:hAnsi="宋体" w:eastAsia="宋体" w:cs="宋体"/>
          <w:b w:val="0"/>
          <w:bCs w:val="0"/>
          <w:color w:val="000000"/>
          <w:kern w:val="2"/>
          <w:sz w:val="24"/>
          <w:szCs w:val="24"/>
          <w:lang w:val="en-US" w:eastAsia="zh-Hans" w:bidi="ar-SA"/>
        </w:rPr>
        <w:t>一</w:t>
      </w:r>
      <w:r>
        <w:rPr>
          <w:rFonts w:hint="eastAsia" w:ascii="宋体" w:hAnsi="宋体" w:eastAsia="宋体" w:cs="宋体"/>
          <w:b w:val="0"/>
          <w:bCs w:val="0"/>
          <w:color w:val="000000"/>
          <w:kern w:val="2"/>
          <w:sz w:val="24"/>
          <w:szCs w:val="24"/>
          <w:lang w:eastAsia="zh-CN" w:bidi="ar-SA"/>
        </w:rPr>
        <w:t>）</w:t>
      </w:r>
      <w:r>
        <w:rPr>
          <w:rFonts w:hint="eastAsia" w:ascii="宋体" w:hAnsi="宋体" w:eastAsia="宋体" w:cs="宋体"/>
          <w:b w:val="0"/>
          <w:bCs w:val="0"/>
          <w:color w:val="000000"/>
          <w:kern w:val="2"/>
          <w:sz w:val="24"/>
          <w:szCs w:val="24"/>
          <w:lang w:val="en-US" w:eastAsia="zh-CN" w:bidi="ar-SA"/>
        </w:rPr>
        <w:t>职业素养</w:t>
      </w:r>
    </w:p>
    <w:p>
      <w:pPr>
        <w:pageBreakBefore w:val="0"/>
        <w:kinsoku/>
        <w:wordWrap/>
        <w:overflowPunct/>
        <w:topLinePunct w:val="0"/>
        <w:bidi w:val="0"/>
        <w:snapToGrid/>
        <w:spacing w:line="240" w:lineRule="auto"/>
        <w:ind w:left="42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1具有良好的职业道德，能自觉遵守行业法规、规范和企业规章制度。</w:t>
      </w:r>
    </w:p>
    <w:p>
      <w:pPr>
        <w:pageBreakBefore w:val="0"/>
        <w:kinsoku/>
        <w:wordWrap/>
        <w:overflowPunct/>
        <w:topLinePunct w:val="0"/>
        <w:bidi w:val="0"/>
        <w:snapToGrid/>
        <w:spacing w:line="240" w:lineRule="auto"/>
        <w:ind w:left="42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2具有“安全第一、预防为主”的责任意识。</w:t>
      </w:r>
    </w:p>
    <w:p>
      <w:pPr>
        <w:pageBreakBefore w:val="0"/>
        <w:kinsoku/>
        <w:wordWrap/>
        <w:overflowPunct/>
        <w:topLinePunct w:val="0"/>
        <w:bidi w:val="0"/>
        <w:snapToGrid/>
        <w:spacing w:line="240" w:lineRule="auto"/>
        <w:ind w:left="42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3具有良好的团队合作精神和客户服务意识</w:t>
      </w:r>
    </w:p>
    <w:p>
      <w:pPr>
        <w:pageBreakBefore w:val="0"/>
        <w:kinsoku/>
        <w:wordWrap/>
        <w:overflowPunct/>
        <w:topLinePunct w:val="0"/>
        <w:bidi w:val="0"/>
        <w:snapToGrid/>
        <w:spacing w:line="240" w:lineRule="auto"/>
        <w:ind w:left="42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4具有良好的观察能力、动手能力和分析能力</w:t>
      </w:r>
    </w:p>
    <w:p>
      <w:pPr>
        <w:pageBreakBefore w:val="0"/>
        <w:kinsoku/>
        <w:wordWrap/>
        <w:overflowPunct/>
        <w:topLinePunct w:val="0"/>
        <w:bidi w:val="0"/>
        <w:snapToGrid/>
        <w:spacing w:line="240" w:lineRule="auto"/>
        <w:ind w:left="42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5具有良好的人际交往能力和合作沟通能力。</w:t>
      </w:r>
    </w:p>
    <w:p>
      <w:pPr>
        <w:pageBreakBefore w:val="0"/>
        <w:kinsoku/>
        <w:wordWrap/>
        <w:overflowPunct/>
        <w:topLinePunct w:val="0"/>
        <w:bidi w:val="0"/>
        <w:snapToGrid/>
        <w:spacing w:line="240" w:lineRule="auto"/>
        <w:ind w:left="42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6具有良好的心理素质及突发事件的处理、应变能力。</w:t>
      </w:r>
    </w:p>
    <w:p>
      <w:pPr>
        <w:pageBreakBefore w:val="0"/>
        <w:kinsoku/>
        <w:wordWrap/>
        <w:overflowPunct/>
        <w:topLinePunct w:val="0"/>
        <w:bidi w:val="0"/>
        <w:snapToGrid/>
        <w:spacing w:line="240" w:lineRule="auto"/>
        <w:ind w:left="420" w:left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（二）专业知识和技能</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1掌握计算机基础知识</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2掌握管理学、心理学基础知识</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3掌握城市轨道交通自动售检票系统的组成、功能和结构。</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4掌握城市轨道交通自行车规章制度</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5能进行售检票作业并处理自动售检票系统的常见故障</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6能综合运用客运设备设施进行客流组织</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7能使用行车设备，按照行车规章办理行车作业</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8能处理正常情况下的行车组织及突发情况下的行车组织</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bCs/>
          <w:sz w:val="24"/>
          <w:szCs w:val="24"/>
          <w:lang w:eastAsia="zh-CN"/>
        </w:rPr>
      </w:pPr>
      <w:r>
        <w:rPr>
          <w:rFonts w:hint="eastAsia" w:ascii="宋体" w:hAnsi="宋体" w:eastAsia="宋体" w:cs="宋体"/>
          <w:bCs/>
          <w:sz w:val="24"/>
          <w:szCs w:val="24"/>
        </w:rPr>
        <w:t>9能使用抢险救灾工具，</w:t>
      </w:r>
      <w:r>
        <w:rPr>
          <w:rFonts w:hint="eastAsia" w:ascii="宋体" w:hAnsi="宋体" w:cs="宋体"/>
          <w:bCs/>
          <w:sz w:val="24"/>
          <w:szCs w:val="24"/>
          <w:lang w:eastAsia="zh-CN"/>
        </w:rPr>
        <w:t>应对车站各种突发事件</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10具备安全、文明生产和环境保护的相关知识和技能</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11掌握钳工（初级）、电工（初级）实操技能</w:t>
      </w:r>
    </w:p>
    <w:p>
      <w:pPr>
        <w:pStyle w:val="2"/>
        <w:pageBreakBefore w:val="0"/>
        <w:kinsoku/>
        <w:wordWrap/>
        <w:overflowPunct/>
        <w:topLinePunct w:val="0"/>
        <w:bidi w:val="0"/>
        <w:snapToGrid/>
        <w:spacing w:line="240" w:lineRule="auto"/>
        <w:textAlignment w:val="auto"/>
        <w:rPr>
          <w:rFonts w:hint="eastAsia" w:ascii="宋体" w:hAnsi="宋体" w:eastAsia="宋体" w:cs="宋体"/>
          <w:sz w:val="24"/>
          <w:szCs w:val="24"/>
        </w:rPr>
      </w:pPr>
      <w:bookmarkStart w:id="7" w:name="_Toc23388"/>
      <w:r>
        <w:rPr>
          <w:rFonts w:hint="eastAsia" w:ascii="宋体" w:hAnsi="宋体" w:eastAsia="宋体" w:cs="宋体"/>
          <w:sz w:val="24"/>
          <w:szCs w:val="24"/>
        </w:rPr>
        <w:t>七、主要接续专业</w:t>
      </w:r>
      <w:bookmarkEnd w:id="7"/>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高职：城市轨道交通运营服务</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本科：交通运输</w:t>
      </w:r>
    </w:p>
    <w:p>
      <w:pPr>
        <w:pStyle w:val="2"/>
        <w:pageBreakBefore w:val="0"/>
        <w:kinsoku/>
        <w:wordWrap/>
        <w:overflowPunct/>
        <w:topLinePunct w:val="0"/>
        <w:bidi w:val="0"/>
        <w:snapToGrid/>
        <w:spacing w:line="240" w:lineRule="auto"/>
        <w:textAlignment w:val="auto"/>
        <w:rPr>
          <w:rFonts w:hint="eastAsia" w:ascii="宋体" w:hAnsi="宋体" w:eastAsia="宋体" w:cs="宋体"/>
          <w:sz w:val="24"/>
          <w:szCs w:val="24"/>
        </w:rPr>
      </w:pPr>
      <w:bookmarkStart w:id="8" w:name="_Toc31946"/>
      <w:r>
        <w:rPr>
          <w:rFonts w:hint="eastAsia" w:ascii="宋体" w:hAnsi="宋体" w:eastAsia="宋体" w:cs="宋体"/>
          <w:sz w:val="24"/>
          <w:szCs w:val="24"/>
        </w:rPr>
        <w:t>八、课程结构</w:t>
      </w:r>
      <w:bookmarkEnd w:id="8"/>
      <w:bookmarkStart w:id="9" w:name="_Toc8854"/>
    </w:p>
    <w:p>
      <w:pPr>
        <w:pStyle w:val="2"/>
        <w:pageBreakBefore w:val="0"/>
        <w:kinsoku/>
        <w:wordWrap/>
        <w:overflowPunct/>
        <w:topLinePunct w:val="0"/>
        <w:bidi w:val="0"/>
        <w:snapToGrid/>
        <w:spacing w:line="240" w:lineRule="auto"/>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6163945" cy="2689225"/>
            <wp:effectExtent l="0" t="0" r="8255" b="15875"/>
            <wp:docPr id="7" name="图片 7" descr="009c81d7cb25de77307c7daab91f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9c81d7cb25de77307c7daab91fa53"/>
                    <pic:cNvPicPr>
                      <a:picLocks noChangeAspect="1"/>
                    </pic:cNvPicPr>
                  </pic:nvPicPr>
                  <pic:blipFill>
                    <a:blip r:embed="rId8"/>
                    <a:stretch>
                      <a:fillRect/>
                    </a:stretch>
                  </pic:blipFill>
                  <pic:spPr>
                    <a:xfrm>
                      <a:off x="0" y="0"/>
                      <a:ext cx="6163945" cy="2689225"/>
                    </a:xfrm>
                    <a:prstGeom prst="rect">
                      <a:avLst/>
                    </a:prstGeom>
                  </pic:spPr>
                </pic:pic>
              </a:graphicData>
            </a:graphic>
          </wp:inline>
        </w:drawing>
      </w:r>
    </w:p>
    <w:p>
      <w:pPr>
        <w:pStyle w:val="2"/>
        <w:pageBreakBefore w:val="0"/>
        <w:kinsoku/>
        <w:wordWrap/>
        <w:overflowPunct/>
        <w:topLinePunct w:val="0"/>
        <w:bidi w:val="0"/>
        <w:snapToGrid/>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九、课程设置及要求</w:t>
      </w:r>
      <w:bookmarkEnd w:id="9"/>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bCs/>
          <w:color w:val="000000"/>
          <w:sz w:val="24"/>
          <w:szCs w:val="24"/>
        </w:rPr>
        <w:t>本专业课程设置分为公共基础课和专业技能课。</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bCs/>
          <w:color w:val="000000"/>
          <w:sz w:val="24"/>
          <w:szCs w:val="24"/>
        </w:rPr>
        <w:t>公共基础课包括德育课，文化课，体育与健康，公共艺术，以及其他自然科学和人文科学类基础课。</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bCs/>
          <w:color w:val="000000"/>
          <w:sz w:val="24"/>
          <w:szCs w:val="24"/>
        </w:rPr>
        <w:t>专业技能课包括专业核心课和专业（技能）方向课，实习实训是专业技能课教学的重要内容，含校内外实训、教学实习等多种形式。</w:t>
      </w:r>
    </w:p>
    <w:p>
      <w:pPr>
        <w:pStyle w:val="3"/>
        <w:pageBreakBefore w:val="0"/>
        <w:kinsoku/>
        <w:wordWrap/>
        <w:overflowPunct/>
        <w:topLinePunct w:val="0"/>
        <w:bidi w:val="0"/>
        <w:snapToGrid/>
        <w:spacing w:line="240" w:lineRule="auto"/>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（一）公共基础课</w:t>
      </w:r>
    </w:p>
    <w:tbl>
      <w:tblPr>
        <w:tblStyle w:val="9"/>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956"/>
        <w:gridCol w:w="5289"/>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序号</w:t>
            </w:r>
          </w:p>
        </w:tc>
        <w:tc>
          <w:tcPr>
            <w:tcW w:w="1956"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课程名称</w:t>
            </w:r>
          </w:p>
        </w:tc>
        <w:tc>
          <w:tcPr>
            <w:tcW w:w="5289"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主要教学内容和要求</w:t>
            </w:r>
          </w:p>
        </w:tc>
        <w:tc>
          <w:tcPr>
            <w:tcW w:w="1389"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956"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职业生涯规划</w:t>
            </w:r>
          </w:p>
        </w:tc>
        <w:tc>
          <w:tcPr>
            <w:tcW w:w="5289"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依据《中等职业学校职业生涯规划教学大纲》开设，并与专业实际和行业发展密切结合</w:t>
            </w:r>
          </w:p>
        </w:tc>
        <w:tc>
          <w:tcPr>
            <w:tcW w:w="1389"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956"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职业道德与法律</w:t>
            </w:r>
          </w:p>
        </w:tc>
        <w:tc>
          <w:tcPr>
            <w:tcW w:w="5289"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依据《中等职业学校职业道德与法律教学大纲》开设，并与专业实际和行业发展密切结合</w:t>
            </w:r>
          </w:p>
        </w:tc>
        <w:tc>
          <w:tcPr>
            <w:tcW w:w="1389"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1956"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经济政治与社会</w:t>
            </w:r>
          </w:p>
        </w:tc>
        <w:tc>
          <w:tcPr>
            <w:tcW w:w="5289"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依据《依据中等职业学校经济政治与社会教学大纲》开设，并与专业实际和行业发展密切结合</w:t>
            </w:r>
          </w:p>
        </w:tc>
        <w:tc>
          <w:tcPr>
            <w:tcW w:w="1389"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1956"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哲学与人生</w:t>
            </w:r>
          </w:p>
        </w:tc>
        <w:tc>
          <w:tcPr>
            <w:tcW w:w="5289"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依据《中等职业学校哲学与人生教学大纲》开设，并与专业实际和行业发展密切结合</w:t>
            </w:r>
          </w:p>
        </w:tc>
        <w:tc>
          <w:tcPr>
            <w:tcW w:w="1389"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1956"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语文</w:t>
            </w:r>
          </w:p>
        </w:tc>
        <w:tc>
          <w:tcPr>
            <w:tcW w:w="5289"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依据《中等职业学校语文教学大纲》开设，并注重在职业模块的教学内容中体现专业特色</w:t>
            </w:r>
          </w:p>
        </w:tc>
        <w:tc>
          <w:tcPr>
            <w:tcW w:w="1389"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1956"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数学</w:t>
            </w:r>
          </w:p>
        </w:tc>
        <w:tc>
          <w:tcPr>
            <w:tcW w:w="5289"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依据《中等职业学校教学大纲》开设，并注重在职业模块的教学内容中体现专业特色</w:t>
            </w:r>
          </w:p>
        </w:tc>
        <w:tc>
          <w:tcPr>
            <w:tcW w:w="1389"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w:t>
            </w:r>
          </w:p>
        </w:tc>
        <w:tc>
          <w:tcPr>
            <w:tcW w:w="1956"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英语</w:t>
            </w:r>
          </w:p>
        </w:tc>
        <w:tc>
          <w:tcPr>
            <w:tcW w:w="5289"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依据《中等职业学校英语教学大纲》开设，并注重在职业模块的教学内容中体现专业特色</w:t>
            </w:r>
          </w:p>
        </w:tc>
        <w:tc>
          <w:tcPr>
            <w:tcW w:w="1389"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w:t>
            </w:r>
          </w:p>
        </w:tc>
        <w:tc>
          <w:tcPr>
            <w:tcW w:w="1956"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计算机应用基础</w:t>
            </w:r>
          </w:p>
        </w:tc>
        <w:tc>
          <w:tcPr>
            <w:tcW w:w="5289"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依据《中等职业学校计算机应用基础教学大纲》开设，并注重在职业模块的教学内容中体现专业特色</w:t>
            </w:r>
          </w:p>
        </w:tc>
        <w:tc>
          <w:tcPr>
            <w:tcW w:w="1389"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w:t>
            </w:r>
          </w:p>
        </w:tc>
        <w:tc>
          <w:tcPr>
            <w:tcW w:w="1956"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体育与健康</w:t>
            </w:r>
          </w:p>
        </w:tc>
        <w:tc>
          <w:tcPr>
            <w:tcW w:w="5289"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依据《中等职业学校体育与健康教学指导纲要》开设，并与专业实际和行业发展密切结合</w:t>
            </w:r>
          </w:p>
        </w:tc>
        <w:tc>
          <w:tcPr>
            <w:tcW w:w="1389"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1956"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公共艺术</w:t>
            </w:r>
          </w:p>
        </w:tc>
        <w:tc>
          <w:tcPr>
            <w:tcW w:w="5289"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依据《中等职业学校公共艺术教学大纲》开设，并与专业实际和行业发展密切结合</w:t>
            </w:r>
          </w:p>
        </w:tc>
        <w:tc>
          <w:tcPr>
            <w:tcW w:w="1389"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w:t>
            </w:r>
          </w:p>
        </w:tc>
        <w:tc>
          <w:tcPr>
            <w:tcW w:w="1956"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人文素养</w:t>
            </w:r>
          </w:p>
        </w:tc>
        <w:tc>
          <w:tcPr>
            <w:tcW w:w="5289"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依据《中等职业学校人文素养教学大纲》开设，并与专业实际和行业发展密切结合</w:t>
            </w:r>
          </w:p>
        </w:tc>
        <w:tc>
          <w:tcPr>
            <w:tcW w:w="1389"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w:t>
            </w:r>
          </w:p>
        </w:tc>
        <w:tc>
          <w:tcPr>
            <w:tcW w:w="1956"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心理健康</w:t>
            </w:r>
          </w:p>
        </w:tc>
        <w:tc>
          <w:tcPr>
            <w:tcW w:w="5289"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依据《中等职业学校心理健康教学大纲》开设，并与专业实际和行业发展密切结合</w:t>
            </w:r>
          </w:p>
        </w:tc>
        <w:tc>
          <w:tcPr>
            <w:tcW w:w="1389"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13</w:t>
            </w:r>
          </w:p>
        </w:tc>
        <w:tc>
          <w:tcPr>
            <w:tcW w:w="1956"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人际沟通与礼仪</w:t>
            </w:r>
          </w:p>
        </w:tc>
        <w:tc>
          <w:tcPr>
            <w:tcW w:w="5289"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依据《中等职业学校人际沟通与礼仪教学大纲》开设，并与专业实际和行业发展密切结合</w:t>
            </w:r>
          </w:p>
        </w:tc>
        <w:tc>
          <w:tcPr>
            <w:tcW w:w="1389"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6</w:t>
            </w:r>
          </w:p>
        </w:tc>
      </w:tr>
    </w:tbl>
    <w:p>
      <w:pPr>
        <w:pageBreakBefore w:val="0"/>
        <w:kinsoku/>
        <w:wordWrap/>
        <w:overflowPunct/>
        <w:topLinePunct w:val="0"/>
        <w:bidi w:val="0"/>
        <w:snapToGrid/>
        <w:spacing w:line="24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（二）专业技能课</w:t>
      </w:r>
    </w:p>
    <w:p>
      <w:pPr>
        <w:pageBreakBefore w:val="0"/>
        <w:kinsoku/>
        <w:wordWrap/>
        <w:overflowPunct/>
        <w:topLinePunct w:val="0"/>
        <w:bidi w:val="0"/>
        <w:snapToGrid/>
        <w:spacing w:line="240" w:lineRule="auto"/>
        <w:ind w:firstLine="240" w:firstLineChars="1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1.专业核心课</w:t>
      </w:r>
    </w:p>
    <w:tbl>
      <w:tblPr>
        <w:tblStyle w:val="9"/>
        <w:tblW w:w="9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995"/>
        <w:gridCol w:w="525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0"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序号</w:t>
            </w:r>
          </w:p>
        </w:tc>
        <w:tc>
          <w:tcPr>
            <w:tcW w:w="1995"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课程名称</w:t>
            </w:r>
          </w:p>
        </w:tc>
        <w:tc>
          <w:tcPr>
            <w:tcW w:w="5250"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主要教学内容和要求</w:t>
            </w:r>
          </w:p>
        </w:tc>
        <w:tc>
          <w:tcPr>
            <w:tcW w:w="1380"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1</w:t>
            </w:r>
          </w:p>
        </w:tc>
        <w:tc>
          <w:tcPr>
            <w:tcW w:w="1995"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Cs/>
                <w:sz w:val="24"/>
                <w:szCs w:val="24"/>
              </w:rPr>
            </w:pPr>
            <w:r>
              <w:rPr>
                <w:rFonts w:hint="eastAsia" w:ascii="宋体" w:hAnsi="宋体" w:eastAsia="宋体" w:cs="宋体"/>
                <w:bCs/>
                <w:sz w:val="24"/>
                <w:szCs w:val="24"/>
              </w:rPr>
              <w:t>城市轨道交通运营管理</w:t>
            </w:r>
          </w:p>
        </w:tc>
        <w:tc>
          <w:tcPr>
            <w:tcW w:w="5250"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Cs/>
                <w:sz w:val="24"/>
                <w:szCs w:val="24"/>
              </w:rPr>
            </w:pPr>
            <w:r>
              <w:rPr>
                <w:rFonts w:hint="eastAsia" w:ascii="宋体" w:hAnsi="宋体" w:eastAsia="宋体" w:cs="宋体"/>
                <w:bCs/>
                <w:sz w:val="24"/>
                <w:szCs w:val="24"/>
              </w:rPr>
              <w:t>了解城市轨道交通运营企业的管理模式；了解城市轨道轨通运营企业的组织架构；掌握城市轨道交通列车运行组织、车站工作组织、调车工作组织的主要工作内容；掌握城市轨道交通企业运营指标体系，了解其经济效益分析方法；了解城市轨道交通运营的可靠性分析方法；了解个城市轨道运营管理方法</w:t>
            </w:r>
          </w:p>
        </w:tc>
        <w:tc>
          <w:tcPr>
            <w:tcW w:w="1380"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w:t>
            </w:r>
          </w:p>
        </w:tc>
        <w:tc>
          <w:tcPr>
            <w:tcW w:w="1995"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Cs/>
                <w:sz w:val="24"/>
                <w:szCs w:val="24"/>
              </w:rPr>
            </w:pPr>
            <w:r>
              <w:rPr>
                <w:rFonts w:hint="eastAsia" w:ascii="宋体" w:hAnsi="宋体" w:eastAsia="宋体" w:cs="宋体"/>
                <w:bCs/>
                <w:sz w:val="24"/>
                <w:szCs w:val="24"/>
              </w:rPr>
              <w:t>城市轨道交通车辆总体构造</w:t>
            </w:r>
          </w:p>
        </w:tc>
        <w:tc>
          <w:tcPr>
            <w:tcW w:w="5250"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Cs/>
                <w:sz w:val="24"/>
                <w:szCs w:val="24"/>
              </w:rPr>
            </w:pPr>
            <w:r>
              <w:rPr>
                <w:rFonts w:hint="eastAsia" w:ascii="宋体" w:hAnsi="宋体" w:eastAsia="宋体" w:cs="宋体"/>
                <w:bCs/>
                <w:sz w:val="24"/>
                <w:szCs w:val="24"/>
              </w:rPr>
              <w:t>基础理论适度、强化基础及共性的知识、专业针对性强、以培养能力为主、反映本学科技术科学领域的现状及发展</w:t>
            </w:r>
          </w:p>
        </w:tc>
        <w:tc>
          <w:tcPr>
            <w:tcW w:w="1380"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w:t>
            </w:r>
          </w:p>
        </w:tc>
        <w:tc>
          <w:tcPr>
            <w:tcW w:w="1995"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Cs/>
                <w:sz w:val="24"/>
                <w:szCs w:val="24"/>
              </w:rPr>
            </w:pPr>
            <w:r>
              <w:rPr>
                <w:rFonts w:hint="eastAsia" w:ascii="宋体" w:hAnsi="宋体" w:eastAsia="宋体" w:cs="宋体"/>
                <w:bCs/>
                <w:sz w:val="24"/>
                <w:szCs w:val="24"/>
              </w:rPr>
              <w:t>城市轨道票务管理</w:t>
            </w:r>
          </w:p>
        </w:tc>
        <w:tc>
          <w:tcPr>
            <w:tcW w:w="5250"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Cs/>
                <w:sz w:val="24"/>
                <w:szCs w:val="24"/>
              </w:rPr>
            </w:pPr>
            <w:r>
              <w:rPr>
                <w:rFonts w:hint="eastAsia" w:ascii="宋体" w:hAnsi="宋体" w:eastAsia="宋体" w:cs="宋体"/>
                <w:bCs/>
                <w:sz w:val="24"/>
                <w:szCs w:val="24"/>
              </w:rPr>
              <w:t>掌握自动售检票（AFC）系统的组成、功能及终端设备的布局和结构；掌握AFC系统的票卡种类及适用范围；了解AFC系统清分系统和清分规则：会使用闸机、自动售票机、半自动售票机等设备，能按票务管理工作要求完成售检票作业；掌握车站票务台账、现金及票务备品的管理流程；能对AFC系统的简单故障进行判断和处理，能正确设置AFC系统的运行模式</w:t>
            </w:r>
          </w:p>
        </w:tc>
        <w:tc>
          <w:tcPr>
            <w:tcW w:w="1380"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jc w:val="center"/>
        </w:trPr>
        <w:tc>
          <w:tcPr>
            <w:tcW w:w="750"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4</w:t>
            </w:r>
          </w:p>
        </w:tc>
        <w:tc>
          <w:tcPr>
            <w:tcW w:w="1995"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Cs/>
                <w:sz w:val="24"/>
                <w:szCs w:val="24"/>
              </w:rPr>
            </w:pPr>
            <w:r>
              <w:rPr>
                <w:rFonts w:hint="eastAsia" w:ascii="宋体" w:hAnsi="宋体" w:eastAsia="宋体" w:cs="宋体"/>
                <w:bCs/>
                <w:sz w:val="24"/>
                <w:szCs w:val="24"/>
              </w:rPr>
              <w:t>城市轨道交通客运组织</w:t>
            </w:r>
          </w:p>
        </w:tc>
        <w:tc>
          <w:tcPr>
            <w:tcW w:w="5250"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Cs/>
                <w:sz w:val="24"/>
                <w:szCs w:val="24"/>
              </w:rPr>
            </w:pPr>
            <w:r>
              <w:rPr>
                <w:rFonts w:hint="eastAsia" w:ascii="宋体" w:hAnsi="宋体" w:eastAsia="宋体" w:cs="宋体"/>
                <w:bCs/>
                <w:sz w:val="24"/>
                <w:szCs w:val="24"/>
              </w:rPr>
              <w:t>了解城市轨道运营安全管理的主要内容；掌握城市轨道交通运营企业各生产部门安全管理规范；掌握危险源的相关知识，能识别的工作中的危险源并采取相应的防护措施；掌握电气安全、机械安全、消防安全、特种设备与特种作业等通用安全知识</w:t>
            </w:r>
          </w:p>
        </w:tc>
        <w:tc>
          <w:tcPr>
            <w:tcW w:w="1380"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4" w:hRule="atLeast"/>
          <w:jc w:val="center"/>
        </w:trPr>
        <w:tc>
          <w:tcPr>
            <w:tcW w:w="750"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5</w:t>
            </w:r>
          </w:p>
        </w:tc>
        <w:tc>
          <w:tcPr>
            <w:tcW w:w="1995"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Cs/>
                <w:sz w:val="24"/>
                <w:szCs w:val="24"/>
              </w:rPr>
            </w:pPr>
            <w:r>
              <w:rPr>
                <w:rFonts w:hint="eastAsia" w:ascii="宋体" w:hAnsi="宋体" w:eastAsia="宋体" w:cs="宋体"/>
                <w:bCs/>
                <w:sz w:val="24"/>
                <w:szCs w:val="24"/>
              </w:rPr>
              <w:t>城市轨道交通车站突发事件应急处理</w:t>
            </w:r>
          </w:p>
        </w:tc>
        <w:tc>
          <w:tcPr>
            <w:tcW w:w="5250" w:type="dxa"/>
            <w:vAlign w:val="center"/>
          </w:tcPr>
          <w:p>
            <w:pPr>
              <w:pageBreakBefore w:val="0"/>
              <w:kinsoku/>
              <w:wordWrap/>
              <w:overflowPunct/>
              <w:topLinePunct w:val="0"/>
              <w:bidi w:val="0"/>
              <w:snapToGrid/>
              <w:spacing w:line="240" w:lineRule="auto"/>
              <w:jc w:val="left"/>
              <w:textAlignment w:val="auto"/>
              <w:rPr>
                <w:rFonts w:hint="eastAsia" w:ascii="宋体" w:hAnsi="宋体" w:eastAsia="宋体" w:cs="宋体"/>
                <w:sz w:val="24"/>
                <w:szCs w:val="24"/>
              </w:rPr>
            </w:pPr>
            <w:r>
              <w:rPr>
                <w:rFonts w:hint="eastAsia" w:ascii="宋体" w:hAnsi="宋体" w:eastAsia="宋体" w:cs="宋体"/>
                <w:bCs/>
                <w:sz w:val="24"/>
                <w:szCs w:val="24"/>
              </w:rPr>
              <w:t>城市轨道交通车站突发事件应急处理包括信号设备故障的应急处理、屏蔽门故障的应急处理、道岔故障的应急处理、车站突发事件的应急处理、大客流的应急处理、火灾的应急处理、恶劣天气时的应急处理。本课程主要是为了适应我国城市现代建设与城市轨道交通发展的需求，尤其是为了满足城市轨道交通发展中对人才培养的迫切而设置的。</w:t>
            </w:r>
          </w:p>
          <w:p>
            <w:pPr>
              <w:pageBreakBefore w:val="0"/>
              <w:kinsoku/>
              <w:wordWrap/>
              <w:overflowPunct/>
              <w:topLinePunct w:val="0"/>
              <w:bidi w:val="0"/>
              <w:snapToGrid/>
              <w:spacing w:line="240" w:lineRule="auto"/>
              <w:textAlignment w:val="auto"/>
              <w:rPr>
                <w:rFonts w:hint="eastAsia" w:ascii="宋体" w:hAnsi="宋体" w:eastAsia="宋体" w:cs="宋体"/>
                <w:bCs/>
                <w:sz w:val="24"/>
                <w:szCs w:val="24"/>
              </w:rPr>
            </w:pPr>
          </w:p>
        </w:tc>
        <w:tc>
          <w:tcPr>
            <w:tcW w:w="1380"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750"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6.</w:t>
            </w:r>
          </w:p>
        </w:tc>
        <w:tc>
          <w:tcPr>
            <w:tcW w:w="1995"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Cs/>
                <w:sz w:val="24"/>
                <w:szCs w:val="24"/>
              </w:rPr>
            </w:pPr>
            <w:r>
              <w:rPr>
                <w:rFonts w:hint="eastAsia" w:ascii="宋体" w:hAnsi="宋体" w:eastAsia="宋体" w:cs="宋体"/>
                <w:bCs/>
                <w:sz w:val="24"/>
                <w:szCs w:val="24"/>
              </w:rPr>
              <w:t>城市轨道交通行车组织</w:t>
            </w:r>
          </w:p>
        </w:tc>
        <w:tc>
          <w:tcPr>
            <w:tcW w:w="5250" w:type="dxa"/>
            <w:vAlign w:val="center"/>
          </w:tcPr>
          <w:p>
            <w:pPr>
              <w:pageBreakBefore w:val="0"/>
              <w:kinsoku/>
              <w:wordWrap/>
              <w:overflowPunct/>
              <w:topLinePunct w:val="0"/>
              <w:bidi w:val="0"/>
              <w:snapToGrid/>
              <w:spacing w:line="240" w:lineRule="auto"/>
              <w:jc w:val="left"/>
              <w:textAlignment w:val="auto"/>
              <w:rPr>
                <w:rFonts w:hint="eastAsia" w:ascii="宋体" w:hAnsi="宋体" w:eastAsia="宋体" w:cs="宋体"/>
                <w:bCs/>
                <w:sz w:val="24"/>
                <w:szCs w:val="24"/>
              </w:rPr>
            </w:pPr>
            <w:r>
              <w:rPr>
                <w:rFonts w:hint="eastAsia" w:ascii="宋体" w:hAnsi="宋体" w:eastAsia="宋体" w:cs="宋体"/>
                <w:bCs/>
                <w:sz w:val="24"/>
                <w:szCs w:val="24"/>
              </w:rPr>
              <w:t>城市轨道交通行车组织概述、行车组织基础、列车自动控制系统、车站行车作业组织、车辆基地作业组织、行车调度工作、正常情况下的行车组织、非正常情况下的行车组织、救援列车与工程车的开行、行车事故处理及预防。</w:t>
            </w:r>
          </w:p>
        </w:tc>
        <w:tc>
          <w:tcPr>
            <w:tcW w:w="1380"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66</w:t>
            </w:r>
          </w:p>
        </w:tc>
      </w:tr>
    </w:tbl>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ind w:firstLine="470" w:firstLineChars="196"/>
        <w:textAlignment w:val="auto"/>
        <w:rPr>
          <w:rFonts w:hint="eastAsia" w:ascii="宋体" w:hAnsi="宋体" w:eastAsia="宋体" w:cs="宋体"/>
          <w:sz w:val="24"/>
          <w:szCs w:val="24"/>
        </w:rPr>
      </w:pPr>
      <w:r>
        <w:rPr>
          <w:rFonts w:hint="eastAsia" w:ascii="宋体" w:hAnsi="宋体" w:eastAsia="宋体" w:cs="宋体"/>
          <w:sz w:val="24"/>
          <w:szCs w:val="24"/>
        </w:rPr>
        <w:t>2.专业（技能）方向课</w:t>
      </w:r>
    </w:p>
    <w:p>
      <w:pPr>
        <w:pageBreakBefore w:val="0"/>
        <w:kinsoku/>
        <w:wordWrap/>
        <w:overflowPunct/>
        <w:topLinePunct w:val="0"/>
        <w:bidi w:val="0"/>
        <w:snapToGrid/>
        <w:spacing w:line="240" w:lineRule="auto"/>
        <w:ind w:firstLine="470" w:firstLineChars="196"/>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（1）城市轨道交通客运服务</w:t>
      </w:r>
    </w:p>
    <w:tbl>
      <w:tblPr>
        <w:tblStyle w:val="9"/>
        <w:tblW w:w="9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995"/>
        <w:gridCol w:w="5250"/>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07"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序号</w:t>
            </w:r>
          </w:p>
        </w:tc>
        <w:tc>
          <w:tcPr>
            <w:tcW w:w="1995"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课程名称</w:t>
            </w:r>
          </w:p>
        </w:tc>
        <w:tc>
          <w:tcPr>
            <w:tcW w:w="5250"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主要教学内容和要求</w:t>
            </w:r>
          </w:p>
        </w:tc>
        <w:tc>
          <w:tcPr>
            <w:tcW w:w="1351"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pageBreakBefore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kern w:val="0"/>
                <w:sz w:val="24"/>
                <w:szCs w:val="24"/>
              </w:rPr>
              <w:t>1</w:t>
            </w:r>
          </w:p>
        </w:tc>
        <w:tc>
          <w:tcPr>
            <w:tcW w:w="1995" w:type="dxa"/>
            <w:vAlign w:val="center"/>
          </w:tcPr>
          <w:p>
            <w:pPr>
              <w:pageBreakBefore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kern w:val="0"/>
                <w:sz w:val="24"/>
                <w:szCs w:val="24"/>
              </w:rPr>
              <w:t>机械制图</w:t>
            </w:r>
          </w:p>
        </w:tc>
        <w:tc>
          <w:tcPr>
            <w:tcW w:w="5250"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理解机械工程制图的投影原理，了解图样表达方式的种类和方法，了解《机械制图》的国家标准，了解尺寸标注、公差标注、表面粗糙度的标注方法；能熟练地使用绘图工具，能绘制、识读一般复杂程度的电子工程图样，能绘制电子产品装配草图。</w:t>
            </w:r>
          </w:p>
        </w:tc>
        <w:tc>
          <w:tcPr>
            <w:tcW w:w="1351" w:type="dxa"/>
            <w:vAlign w:val="center"/>
          </w:tcPr>
          <w:p>
            <w:pPr>
              <w:pageBreakBefore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kern w:val="0"/>
                <w:sz w:val="24"/>
                <w:szCs w:val="24"/>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pageBreakBefore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kern w:val="0"/>
                <w:sz w:val="24"/>
                <w:szCs w:val="24"/>
              </w:rPr>
              <w:t>2</w:t>
            </w:r>
          </w:p>
        </w:tc>
        <w:tc>
          <w:tcPr>
            <w:tcW w:w="1995"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sz w:val="24"/>
                <w:szCs w:val="24"/>
              </w:rPr>
              <w:t>电工基础与技能</w:t>
            </w:r>
          </w:p>
        </w:tc>
        <w:tc>
          <w:tcPr>
            <w:tcW w:w="5250"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了解电阻、电容、电感等各种电子元器件的特性与作用；理解简单电路的基本原理与特性；了解电路的各种分析方法，能对给定的电路进行电压、电流、功率等参数的计算；能绘制信号的波形图，掌握中级以上装配电工应知理论知识。</w:t>
            </w:r>
          </w:p>
        </w:tc>
        <w:tc>
          <w:tcPr>
            <w:tcW w:w="1351"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sz w:val="24"/>
                <w:szCs w:val="24"/>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pageBreakBefore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kern w:val="0"/>
                <w:sz w:val="24"/>
                <w:szCs w:val="24"/>
              </w:rPr>
              <w:t>3</w:t>
            </w:r>
          </w:p>
        </w:tc>
        <w:tc>
          <w:tcPr>
            <w:tcW w:w="1995" w:type="dxa"/>
            <w:vAlign w:val="center"/>
          </w:tcPr>
          <w:p>
            <w:pPr>
              <w:pageBreakBefore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kern w:val="0"/>
                <w:sz w:val="24"/>
                <w:szCs w:val="24"/>
              </w:rPr>
              <w:t>城市轨道交通概论</w:t>
            </w:r>
          </w:p>
        </w:tc>
        <w:tc>
          <w:tcPr>
            <w:tcW w:w="5250"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通过学习，了解城市轨道交通整个系统</w:t>
            </w:r>
          </w:p>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的运营概况及城市轨道交通车辆结构、检</w:t>
            </w:r>
          </w:p>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修制度</w:t>
            </w:r>
          </w:p>
        </w:tc>
        <w:tc>
          <w:tcPr>
            <w:tcW w:w="1351" w:type="dxa"/>
            <w:vAlign w:val="center"/>
          </w:tcPr>
          <w:p>
            <w:pPr>
              <w:pageBreakBefore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kern w:val="0"/>
                <w:sz w:val="24"/>
                <w:szCs w:val="24"/>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w:t>
            </w:r>
          </w:p>
        </w:tc>
        <w:tc>
          <w:tcPr>
            <w:tcW w:w="1995"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学考专业技能课</w:t>
            </w:r>
          </w:p>
        </w:tc>
        <w:tc>
          <w:tcPr>
            <w:tcW w:w="5250"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主要讲解学业水平考试技能相关知识，包括城市轨道交通概论、城市轨道交通运营管理 、城市轨道交通行车组织、城市轨道交通运营安全等内容</w:t>
            </w:r>
          </w:p>
        </w:tc>
        <w:tc>
          <w:tcPr>
            <w:tcW w:w="1351"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w:t>
            </w:r>
          </w:p>
        </w:tc>
        <w:tc>
          <w:tcPr>
            <w:tcW w:w="1995"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电工电子技术基础</w:t>
            </w:r>
          </w:p>
          <w:p>
            <w:pPr>
              <w:pageBreakBefore w:val="0"/>
              <w:widowControl/>
              <w:kinsoku/>
              <w:wordWrap/>
              <w:overflowPunct/>
              <w:topLinePunct w:val="0"/>
              <w:bidi w:val="0"/>
              <w:snapToGrid/>
              <w:spacing w:line="240" w:lineRule="auto"/>
              <w:jc w:val="center"/>
              <w:textAlignment w:val="auto"/>
              <w:rPr>
                <w:rFonts w:hint="eastAsia" w:ascii="宋体" w:hAnsi="宋体" w:eastAsia="宋体" w:cs="宋体"/>
                <w:sz w:val="24"/>
                <w:szCs w:val="24"/>
              </w:rPr>
            </w:pPr>
          </w:p>
        </w:tc>
        <w:tc>
          <w:tcPr>
            <w:tcW w:w="5250"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了解常用电子器件的工作原理、主要参数和外特性；理解各种基本的模拟与数字单元电路的组成与工作原理；能定性分析各种常用电子线路并能说明电路中每个元器件的作用；能计算简单电子线路的参数；了解通用集成电路(IC)的性能特点，能画出常用IC应用电路；能查阅电子器件手册及有关资料并合理选用。理解半导体器件（二极管、三极管和MOS管）的开关特性、数的各种进制之间的转换及逻辑代数的公式及图形法化简；了解门及MOS门电路的入、出关系；理解组合逻辑电路的分析及设计方法；理解触发器的特性及在时序逻辑电路中的应用；了解多谐振荡器、单稳态触发器和施密特触发器的构成特点及应用；了解D/A、A/D转换器的电路工作原理。</w:t>
            </w:r>
          </w:p>
        </w:tc>
        <w:tc>
          <w:tcPr>
            <w:tcW w:w="1351"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w:t>
            </w:r>
          </w:p>
        </w:tc>
        <w:tc>
          <w:tcPr>
            <w:tcW w:w="1995"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客运服务英语</w:t>
            </w:r>
          </w:p>
        </w:tc>
        <w:tc>
          <w:tcPr>
            <w:tcW w:w="5250"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掌握城市轨道交通常用客运设备的专业英语词汇；掌握售检票服务英语词汇及常用对话；掌握问路、指路英语词汇及常用对话；掌握乘客服务的英语词汇及常用对话；掌握应急服务的英语词汇及常用对话</w:t>
            </w:r>
          </w:p>
        </w:tc>
        <w:tc>
          <w:tcPr>
            <w:tcW w:w="1351"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7</w:t>
            </w:r>
          </w:p>
        </w:tc>
        <w:tc>
          <w:tcPr>
            <w:tcW w:w="1995"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城市轨道交通通信与信号系统</w:t>
            </w:r>
          </w:p>
        </w:tc>
        <w:tc>
          <w:tcPr>
            <w:tcW w:w="5250"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能够对城市轨道交通的信号设备、通信设备有比较全面的了解，为从事城市轨道交通运营指挥和通信信号设备维护等工作提供知识保障</w:t>
            </w:r>
          </w:p>
        </w:tc>
        <w:tc>
          <w:tcPr>
            <w:tcW w:w="1351"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9</w:t>
            </w:r>
          </w:p>
        </w:tc>
        <w:tc>
          <w:tcPr>
            <w:tcW w:w="1995"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客运服务礼仪</w:t>
            </w:r>
          </w:p>
        </w:tc>
        <w:tc>
          <w:tcPr>
            <w:tcW w:w="5250"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掌握服务礼仪的基础知识；掌握城市轨道交通客运服务规范；掌握售票亭服务、站厅服务、站台服务的基本流程，能按照相关规定处理乘客服务中的常见问题；掌握处理乘客投诉的一般原则和基本流程，能正确处理与乘客的纠纷和投诉</w:t>
            </w:r>
          </w:p>
        </w:tc>
        <w:tc>
          <w:tcPr>
            <w:tcW w:w="1351"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33</w:t>
            </w:r>
          </w:p>
        </w:tc>
      </w:tr>
    </w:tbl>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3.专业选修课</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（1）城市公共交通</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（2）城市轨道交通系统</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（3）企业管理实务</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（4）其他</w:t>
      </w:r>
    </w:p>
    <w:p>
      <w:pPr>
        <w:pageBreakBefore w:val="0"/>
        <w:kinsoku/>
        <w:wordWrap/>
        <w:overflowPunct/>
        <w:topLinePunct w:val="0"/>
        <w:bidi w:val="0"/>
        <w:snapToGrid/>
        <w:spacing w:line="24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4.创新创业类课程（至少1门）</w:t>
      </w:r>
    </w:p>
    <w:tbl>
      <w:tblPr>
        <w:tblStyle w:val="9"/>
        <w:tblW w:w="9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953"/>
        <w:gridCol w:w="5220"/>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20"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序号</w:t>
            </w:r>
          </w:p>
        </w:tc>
        <w:tc>
          <w:tcPr>
            <w:tcW w:w="1953"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课程名称</w:t>
            </w:r>
          </w:p>
        </w:tc>
        <w:tc>
          <w:tcPr>
            <w:tcW w:w="5220" w:type="dxa"/>
            <w:vAlign w:val="center"/>
          </w:tcPr>
          <w:p>
            <w:pPr>
              <w:pageBreakBefore w:val="0"/>
              <w:kinsoku/>
              <w:wordWrap/>
              <w:overflowPunct/>
              <w:topLinePunct w:val="0"/>
              <w:bidi w:val="0"/>
              <w:snapToGrid/>
              <w:spacing w:line="240" w:lineRule="auto"/>
              <w:ind w:firstLine="422"/>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主要教学内容和要求</w:t>
            </w:r>
          </w:p>
        </w:tc>
        <w:tc>
          <w:tcPr>
            <w:tcW w:w="1322"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pageBreakBefore w:val="0"/>
              <w:kinsoku/>
              <w:wordWrap/>
              <w:overflowPunct/>
              <w:topLinePunct w:val="0"/>
              <w:bidi w:val="0"/>
              <w:snapToGrid/>
              <w:spacing w:line="240" w:lineRule="auto"/>
              <w:ind w:firstLine="241" w:firstLineChars="100"/>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w:t>
            </w:r>
          </w:p>
        </w:tc>
        <w:tc>
          <w:tcPr>
            <w:tcW w:w="1953"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sz w:val="24"/>
                <w:szCs w:val="24"/>
              </w:rPr>
              <w:t>旅客服务心理学</w:t>
            </w:r>
          </w:p>
        </w:tc>
        <w:tc>
          <w:tcPr>
            <w:tcW w:w="5220" w:type="dxa"/>
          </w:tcPr>
          <w:p>
            <w:pPr>
              <w:pageBreakBefore w:val="0"/>
              <w:kinsoku/>
              <w:wordWrap/>
              <w:overflowPunct/>
              <w:topLinePunct w:val="0"/>
              <w:bidi w:val="0"/>
              <w:snapToGrid/>
              <w:spacing w:line="240" w:lineRule="auto"/>
              <w:jc w:val="left"/>
              <w:textAlignment w:val="auto"/>
              <w:rPr>
                <w:rFonts w:hint="eastAsia" w:ascii="宋体" w:hAnsi="宋体" w:eastAsia="宋体" w:cs="宋体"/>
                <w:bCs/>
                <w:color w:val="000000"/>
                <w:sz w:val="24"/>
                <w:szCs w:val="24"/>
              </w:rPr>
            </w:pPr>
            <w:r>
              <w:rPr>
                <w:rFonts w:hint="eastAsia" w:ascii="宋体" w:hAnsi="宋体" w:eastAsia="宋体" w:cs="宋体"/>
                <w:sz w:val="24"/>
                <w:szCs w:val="24"/>
              </w:rPr>
              <w:t xml:space="preserve">  </w:t>
            </w:r>
            <w:r>
              <w:rPr>
                <w:rFonts w:hint="eastAsia" w:ascii="宋体" w:hAnsi="宋体" w:eastAsia="宋体" w:cs="宋体"/>
                <w:bCs/>
                <w:color w:val="000000"/>
                <w:sz w:val="24"/>
                <w:szCs w:val="24"/>
              </w:rPr>
              <w:t xml:space="preserve"> 主要研究旅客心理活动的一般性规律及旅客需求的表现，探讨掌握旅客心理活动的方法、客运服务人员的心理修养及提高客运管理人员的管理方式与管理艺术等。</w:t>
            </w:r>
          </w:p>
        </w:tc>
        <w:tc>
          <w:tcPr>
            <w:tcW w:w="1322" w:type="dxa"/>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p>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p>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color w:val="000000"/>
                <w:kern w:val="0"/>
                <w:sz w:val="24"/>
                <w:szCs w:val="24"/>
              </w:rPr>
              <w:t>18</w:t>
            </w:r>
          </w:p>
        </w:tc>
      </w:tr>
    </w:tbl>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5.综合实训</w:t>
      </w:r>
    </w:p>
    <w:tbl>
      <w:tblPr>
        <w:tblStyle w:val="9"/>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935"/>
        <w:gridCol w:w="5265"/>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序号</w:t>
            </w:r>
          </w:p>
        </w:tc>
        <w:tc>
          <w:tcPr>
            <w:tcW w:w="1935"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课程名称</w:t>
            </w:r>
          </w:p>
        </w:tc>
        <w:tc>
          <w:tcPr>
            <w:tcW w:w="5265"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主要教学内容和要求</w:t>
            </w:r>
          </w:p>
        </w:tc>
        <w:tc>
          <w:tcPr>
            <w:tcW w:w="13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w:t>
            </w:r>
          </w:p>
        </w:tc>
        <w:tc>
          <w:tcPr>
            <w:tcW w:w="1935" w:type="dxa"/>
            <w:vAlign w:val="center"/>
          </w:tcPr>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钳工实训</w:t>
            </w:r>
          </w:p>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p>
        </w:tc>
        <w:tc>
          <w:tcPr>
            <w:tcW w:w="5265"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掌握钳工基本知识和钳工工艺理论；能安全使用和维护常用钳工工具、量具、夹具和机具；掌握钳工的基本操作方法；能按工艺要求进行零部件的分解和组装。</w:t>
            </w:r>
          </w:p>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p>
        </w:tc>
        <w:tc>
          <w:tcPr>
            <w:tcW w:w="13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w:t>
            </w:r>
          </w:p>
        </w:tc>
        <w:tc>
          <w:tcPr>
            <w:tcW w:w="1935"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电工操作技能实训</w:t>
            </w:r>
          </w:p>
        </w:tc>
        <w:tc>
          <w:tcPr>
            <w:tcW w:w="5265"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掌握常用电工仪表的工作原理及构造；能正确、安全使用各种电工仪表进行电路的分析和故障检查；针对各种电工仪表进行实测训练，提高实测水平</w:t>
            </w:r>
          </w:p>
        </w:tc>
        <w:tc>
          <w:tcPr>
            <w:tcW w:w="13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w:t>
            </w:r>
          </w:p>
        </w:tc>
        <w:tc>
          <w:tcPr>
            <w:tcW w:w="1935"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行车指挥综合实训</w:t>
            </w:r>
          </w:p>
        </w:tc>
        <w:tc>
          <w:tcPr>
            <w:tcW w:w="5265"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握运营调度组织架构；能够分角色演练电话闭塞接发列车；能够分角色演练手摇道岔接发车作业；能够分角色演练列车反方向作业；能够分角色演练列车退行作业；能够分角色演练列车救援作业；能够进行信号故障条件下的列车运行调整；能准确传达调度命令，规范填写行车报表；能够办理车站施工作业</w:t>
            </w:r>
          </w:p>
        </w:tc>
        <w:tc>
          <w:tcPr>
            <w:tcW w:w="13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w:t>
            </w:r>
          </w:p>
        </w:tc>
        <w:tc>
          <w:tcPr>
            <w:tcW w:w="1935"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客运应急处理</w:t>
            </w:r>
          </w:p>
        </w:tc>
        <w:tc>
          <w:tcPr>
            <w:tcW w:w="5265"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掌握车站消防设备的操作规程，能够熟练使用消火栓和各类灭火器；掌握基础急救知识，能够进行心肺复苏，外伤包扎等急救操作</w:t>
            </w:r>
          </w:p>
        </w:tc>
        <w:tc>
          <w:tcPr>
            <w:tcW w:w="13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w:t>
            </w:r>
          </w:p>
        </w:tc>
        <w:tc>
          <w:tcPr>
            <w:tcW w:w="1935"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color w:val="000000"/>
                <w:sz w:val="24"/>
                <w:szCs w:val="24"/>
              </w:rPr>
              <w:t>票务管理实训</w:t>
            </w:r>
          </w:p>
        </w:tc>
        <w:tc>
          <w:tcPr>
            <w:tcW w:w="5265" w:type="dxa"/>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能操作半自动售票机完成单程票、福利票和补出站票的购买等工作任务，并能够完成票务台账登记；能操作半自动售票机完成储值票开卡、充值、退卡等工作任务，并能够完成票务台账登记；能处理闸机、自动售票机和半自动售票机的票箱更换和票卡模块的卡票故障处理；能完成自动售票机的票箱更换和票卡模块的卡票故障处理；能完成自动售票机更换纸币钱箱、硬币纸箱的操作</w:t>
            </w:r>
          </w:p>
        </w:tc>
        <w:tc>
          <w:tcPr>
            <w:tcW w:w="13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w:t>
            </w:r>
          </w:p>
        </w:tc>
        <w:tc>
          <w:tcPr>
            <w:tcW w:w="1935"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行车组织综合实训（城市轨道交通车站管理方向）</w:t>
            </w:r>
          </w:p>
        </w:tc>
        <w:tc>
          <w:tcPr>
            <w:tcW w:w="5265"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掌握运营调度组织架构；能够分角色演练电话闭塞接发列车；能够分角色演练手摇道岔接发车作业；能够分角色演练列车反方向作业；能够分角色演练列车退行作业；能够分角色演练列车救援作业；能够进行信号故障条件下的列车运行调整；能准确传达调度命令，规范填写行车报表；能够办理车站施工作业</w:t>
            </w:r>
          </w:p>
        </w:tc>
        <w:tc>
          <w:tcPr>
            <w:tcW w:w="13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7</w:t>
            </w:r>
          </w:p>
        </w:tc>
        <w:tc>
          <w:tcPr>
            <w:tcW w:w="1935"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车辆拆装实训</w:t>
            </w:r>
          </w:p>
        </w:tc>
        <w:tc>
          <w:tcPr>
            <w:tcW w:w="5265"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掌握电动列车牵引系统、制动及风源系统、车门系统、机械设备及转向架、车辆电器等的检修方法；能按检修工艺及规程进行检修，能检查、分析、处理各类基本故障，能根据各级修程的要求对设备、器件进行测量、调整、更换；能对电气系统和机械系统进行初步综合检修和分析。</w:t>
            </w:r>
          </w:p>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p>
        </w:tc>
        <w:tc>
          <w:tcPr>
            <w:tcW w:w="13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8</w:t>
            </w:r>
          </w:p>
        </w:tc>
        <w:tc>
          <w:tcPr>
            <w:tcW w:w="1935"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学测专业技能实训</w:t>
            </w:r>
          </w:p>
        </w:tc>
        <w:tc>
          <w:tcPr>
            <w:tcW w:w="5265" w:type="dxa"/>
          </w:tcPr>
          <w:p>
            <w:pPr>
              <w:pageBreakBefore w:val="0"/>
              <w:kinsoku/>
              <w:wordWrap/>
              <w:overflowPunct/>
              <w:topLinePunct w:val="0"/>
              <w:bidi w:val="0"/>
              <w:snapToGrid/>
              <w:spacing w:line="240" w:lineRule="auto"/>
              <w:textAlignment w:val="auto"/>
              <w:rPr>
                <w:rFonts w:hint="eastAsia" w:ascii="宋体" w:hAnsi="宋体" w:eastAsia="宋体" w:cs="宋体"/>
                <w:bCs/>
                <w:color w:val="000000"/>
                <w:sz w:val="24"/>
                <w:szCs w:val="24"/>
              </w:rPr>
            </w:pPr>
            <w:r>
              <w:rPr>
                <w:rFonts w:hint="eastAsia" w:ascii="宋体" w:hAnsi="宋体" w:eastAsia="宋体" w:cs="宋体"/>
                <w:bCs/>
                <w:sz w:val="24"/>
                <w:szCs w:val="24"/>
              </w:rPr>
              <w:t>了解城市轨道运营安全管理的主要内容；掌握城市轨道交通运营企业各生产部门安全管理规范；掌握危险源的相关知识，能识别的工作中的危险源并采取相应的防护措施；掌握电气安全、机械安全、消防安全、特种设备与特种作业等通用安全知识</w:t>
            </w:r>
          </w:p>
        </w:tc>
        <w:tc>
          <w:tcPr>
            <w:tcW w:w="1344"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56</w:t>
            </w:r>
          </w:p>
        </w:tc>
      </w:tr>
    </w:tbl>
    <w:p>
      <w:pPr>
        <w:pageBreakBefore w:val="0"/>
        <w:kinsoku/>
        <w:wordWrap/>
        <w:overflowPunct/>
        <w:topLinePunct w:val="0"/>
        <w:bidi w:val="0"/>
        <w:snapToGrid/>
        <w:spacing w:line="240" w:lineRule="auto"/>
        <w:ind w:firstLine="470" w:firstLineChars="196"/>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6.顶岗实习</w:t>
      </w:r>
    </w:p>
    <w:p>
      <w:pPr>
        <w:pageBreakBefore w:val="0"/>
        <w:kinsoku/>
        <w:wordWrap/>
        <w:overflowPunct/>
        <w:topLinePunct w:val="0"/>
        <w:bidi w:val="0"/>
        <w:snapToGrid/>
        <w:spacing w:line="240" w:lineRule="auto"/>
        <w:ind w:firstLine="470" w:firstLineChars="196"/>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参与站务员岗位的工作，综合运用本专业所学的知识和技能完成售检票作业、客运组织、客运服务、突发事件处理等工作任务.</w:t>
      </w:r>
    </w:p>
    <w:p>
      <w:pPr>
        <w:pageBreakBefore w:val="0"/>
        <w:kinsoku/>
        <w:wordWrap/>
        <w:overflowPunct/>
        <w:topLinePunct w:val="0"/>
        <w:bidi w:val="0"/>
        <w:snapToGrid/>
        <w:spacing w:line="240" w:lineRule="auto"/>
        <w:ind w:firstLine="470" w:firstLineChars="196"/>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参与车站值班员岗位的工作，综合运用本专业所学的知识和技能完成车站设备综合监控、客运组织、行车组织、突发事件处理等工作任务。</w:t>
      </w:r>
    </w:p>
    <w:p>
      <w:pPr>
        <w:pStyle w:val="2"/>
        <w:pageBreakBefore w:val="0"/>
        <w:kinsoku/>
        <w:wordWrap/>
        <w:overflowPunct/>
        <w:topLinePunct w:val="0"/>
        <w:bidi w:val="0"/>
        <w:snapToGrid/>
        <w:spacing w:line="240" w:lineRule="auto"/>
        <w:textAlignment w:val="auto"/>
        <w:rPr>
          <w:rFonts w:hint="eastAsia" w:ascii="宋体" w:hAnsi="宋体" w:eastAsia="宋体" w:cs="宋体"/>
          <w:sz w:val="24"/>
          <w:szCs w:val="24"/>
        </w:rPr>
      </w:pPr>
      <w:bookmarkStart w:id="10" w:name="_Toc25375"/>
      <w:r>
        <w:rPr>
          <w:rFonts w:hint="eastAsia" w:ascii="宋体" w:hAnsi="宋体" w:eastAsia="宋体" w:cs="宋体"/>
          <w:sz w:val="24"/>
          <w:szCs w:val="24"/>
        </w:rPr>
        <w:t>十、教学时间安排</w:t>
      </w:r>
      <w:bookmarkEnd w:id="10"/>
    </w:p>
    <w:p>
      <w:pPr>
        <w:pageBreakBefore w:val="0"/>
        <w:kinsoku/>
        <w:wordWrap/>
        <w:overflowPunct/>
        <w:topLinePunct w:val="0"/>
        <w:bidi w:val="0"/>
        <w:snapToGrid/>
        <w:spacing w:line="240" w:lineRule="auto"/>
        <w:ind w:firstLine="470" w:firstLineChars="196"/>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（一）基本要求</w:t>
      </w:r>
    </w:p>
    <w:p>
      <w:pPr>
        <w:pageBreakBefore w:val="0"/>
        <w:kinsoku/>
        <w:wordWrap/>
        <w:overflowPunct/>
        <w:topLinePunct w:val="0"/>
        <w:bidi w:val="0"/>
        <w:snapToGrid/>
        <w:spacing w:line="240" w:lineRule="auto"/>
        <w:ind w:firstLine="470" w:firstLineChars="196"/>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每学年为52周，其中教学时间40周（含复习考试），累计假期12周，周学时为30学时，顶岗实习和集中上课按每周30学时安排，3年总学时数为3000。其中公共基础课学时约占总学时的1/3，专业技能课（含教学实习）学时约占总学时的2/3。</w:t>
      </w:r>
    </w:p>
    <w:p>
      <w:pPr>
        <w:pageBreakBefore w:val="0"/>
        <w:kinsoku/>
        <w:wordWrap/>
        <w:overflowPunct/>
        <w:topLinePunct w:val="0"/>
        <w:bidi w:val="0"/>
        <w:snapToGrid/>
        <w:spacing w:line="240" w:lineRule="auto"/>
        <w:ind w:firstLine="470" w:firstLineChars="196"/>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课程设置中应设选修课，其学时数占总学时的比例应不少于10％。</w:t>
      </w:r>
    </w:p>
    <w:p>
      <w:pPr>
        <w:pageBreakBefore w:val="0"/>
        <w:kinsoku/>
        <w:wordWrap/>
        <w:overflowPunct/>
        <w:topLinePunct w:val="0"/>
        <w:bidi w:val="0"/>
        <w:snapToGrid/>
        <w:spacing w:line="240" w:lineRule="auto"/>
        <w:ind w:firstLine="470" w:firstLineChars="196"/>
        <w:textAlignment w:val="auto"/>
        <w:rPr>
          <w:rFonts w:hint="eastAsia" w:ascii="宋体" w:hAnsi="宋体" w:eastAsia="宋体" w:cs="宋体"/>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Hans"/>
        </w:rPr>
        <w:t>二</w:t>
      </w:r>
      <w:r>
        <w:rPr>
          <w:rFonts w:hint="eastAsia" w:ascii="宋体" w:hAnsi="宋体" w:eastAsia="宋体" w:cs="宋体"/>
          <w:color w:val="000000"/>
          <w:sz w:val="24"/>
          <w:szCs w:val="24"/>
        </w:rPr>
        <w:t>）教学计划</w:t>
      </w:r>
    </w:p>
    <w:p>
      <w:pPr>
        <w:pageBreakBefore w:val="0"/>
        <w:kinsoku/>
        <w:wordWrap/>
        <w:overflowPunct/>
        <w:topLinePunct w:val="0"/>
        <w:bidi w:val="0"/>
        <w:snapToGrid/>
        <w:spacing w:line="240" w:lineRule="auto"/>
        <w:jc w:val="center"/>
        <w:textAlignment w:val="auto"/>
        <w:rPr>
          <w:rFonts w:hint="eastAsia" w:ascii="宋体" w:hAnsi="宋体" w:eastAsia="宋体" w:cs="宋体"/>
          <w:sz w:val="24"/>
          <w:szCs w:val="24"/>
        </w:rPr>
        <w:sectPr>
          <w:footerReference r:id="rId4" w:type="default"/>
          <w:pgSz w:w="11906" w:h="16838"/>
          <w:pgMar w:top="1474" w:right="1134" w:bottom="1134" w:left="1134" w:header="851" w:footer="992" w:gutter="0"/>
          <w:pgNumType w:start="1"/>
          <w:cols w:space="720" w:num="1"/>
          <w:docGrid w:type="lines" w:linePitch="312" w:charSpace="0"/>
        </w:sectPr>
      </w:pPr>
      <w:r>
        <w:rPr>
          <w:rFonts w:hint="eastAsia" w:ascii="宋体" w:hAnsi="宋体" w:eastAsia="宋体" w:cs="宋体"/>
          <w:sz w:val="24"/>
          <w:szCs w:val="24"/>
        </w:rPr>
        <w:drawing>
          <wp:inline distT="0" distB="0" distL="0" distR="0">
            <wp:extent cx="5003800" cy="6711315"/>
            <wp:effectExtent l="0" t="0" r="635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003800" cy="6711315"/>
                    </a:xfrm>
                    <a:prstGeom prst="rect">
                      <a:avLst/>
                    </a:prstGeom>
                  </pic:spPr>
                </pic:pic>
              </a:graphicData>
            </a:graphic>
          </wp:inline>
        </w:drawing>
      </w:r>
    </w:p>
    <w:p>
      <w:pPr>
        <w:pStyle w:val="2"/>
        <w:pageBreakBefore w:val="0"/>
        <w:kinsoku/>
        <w:wordWrap/>
        <w:overflowPunct/>
        <w:topLinePunct w:val="0"/>
        <w:bidi w:val="0"/>
        <w:snapToGrid/>
        <w:spacing w:line="240" w:lineRule="auto"/>
        <w:textAlignment w:val="auto"/>
        <w:rPr>
          <w:rFonts w:hint="eastAsia" w:ascii="宋体" w:hAnsi="宋体" w:eastAsia="宋体" w:cs="宋体"/>
          <w:sz w:val="24"/>
          <w:szCs w:val="24"/>
        </w:rPr>
      </w:pPr>
      <w:bookmarkStart w:id="11" w:name="_Toc23340"/>
      <w:r>
        <w:rPr>
          <w:rFonts w:hint="eastAsia" w:ascii="宋体" w:hAnsi="宋体" w:eastAsia="宋体" w:cs="宋体"/>
          <w:sz w:val="24"/>
          <w:szCs w:val="24"/>
        </w:rPr>
        <w:t>十</w:t>
      </w:r>
      <w:r>
        <w:rPr>
          <w:rFonts w:hint="eastAsia" w:ascii="宋体" w:hAnsi="宋体" w:eastAsia="宋体" w:cs="宋体"/>
          <w:sz w:val="24"/>
          <w:szCs w:val="24"/>
          <w:lang w:val="en-US" w:eastAsia="zh-Hans"/>
        </w:rPr>
        <w:t>一</w:t>
      </w:r>
      <w:r>
        <w:rPr>
          <w:rFonts w:hint="eastAsia" w:ascii="宋体" w:hAnsi="宋体" w:eastAsia="宋体" w:cs="宋体"/>
          <w:sz w:val="24"/>
          <w:szCs w:val="24"/>
        </w:rPr>
        <w:t>、专业技能要求</w:t>
      </w:r>
      <w:bookmarkEnd w:id="11"/>
    </w:p>
    <w:p>
      <w:pPr>
        <w:pageBreakBefore w:val="0"/>
        <w:kinsoku/>
        <w:wordWrap/>
        <w:overflowPunct/>
        <w:topLinePunct w:val="0"/>
        <w:bidi w:val="0"/>
        <w:snapToGrid/>
        <w:spacing w:line="240" w:lineRule="auto"/>
        <w:ind w:left="420" w:left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（一）本专业必须持有的职业资格（等级）证书</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1、全国计算机等级考试证书</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2.普通话证书</w:t>
      </w:r>
    </w:p>
    <w:p>
      <w:pPr>
        <w:pageBreakBefore w:val="0"/>
        <w:kinsoku/>
        <w:wordWrap/>
        <w:overflowPunct/>
        <w:topLinePunct w:val="0"/>
        <w:bidi w:val="0"/>
        <w:snapToGrid/>
        <w:spacing w:line="240" w:lineRule="auto"/>
        <w:ind w:left="420" w:left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（二）本专业参加职业资格（等级）考试时间</w:t>
      </w:r>
    </w:p>
    <w:tbl>
      <w:tblPr>
        <w:tblStyle w:val="9"/>
        <w:tblW w:w="90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460"/>
        <w:gridCol w:w="2379"/>
        <w:gridCol w:w="1941"/>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2460"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课程名称</w:t>
            </w:r>
          </w:p>
        </w:tc>
        <w:tc>
          <w:tcPr>
            <w:tcW w:w="2379"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证书名称</w:t>
            </w:r>
          </w:p>
        </w:tc>
        <w:tc>
          <w:tcPr>
            <w:tcW w:w="1941"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参加考试时间</w:t>
            </w:r>
          </w:p>
        </w:tc>
        <w:tc>
          <w:tcPr>
            <w:tcW w:w="1280"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2460"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计算机应用基础</w:t>
            </w:r>
          </w:p>
        </w:tc>
        <w:tc>
          <w:tcPr>
            <w:tcW w:w="2379"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全国计算机等级考试</w:t>
            </w:r>
          </w:p>
        </w:tc>
        <w:tc>
          <w:tcPr>
            <w:tcW w:w="1941"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第二学期</w:t>
            </w:r>
          </w:p>
        </w:tc>
        <w:tc>
          <w:tcPr>
            <w:tcW w:w="1280"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2460"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行车值班员证书</w:t>
            </w:r>
          </w:p>
        </w:tc>
        <w:tc>
          <w:tcPr>
            <w:tcW w:w="2379"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职业资格证书</w:t>
            </w:r>
          </w:p>
        </w:tc>
        <w:tc>
          <w:tcPr>
            <w:tcW w:w="1941"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第五学期</w:t>
            </w:r>
          </w:p>
        </w:tc>
        <w:tc>
          <w:tcPr>
            <w:tcW w:w="1280" w:type="dxa"/>
            <w:vAlign w:val="center"/>
          </w:tcPr>
          <w:p>
            <w:pPr>
              <w:pageBreakBefore w:val="0"/>
              <w:kinsoku/>
              <w:wordWrap/>
              <w:overflowPunct/>
              <w:topLinePunct w:val="0"/>
              <w:bidi w:val="0"/>
              <w:snapToGrid/>
              <w:spacing w:line="240" w:lineRule="auto"/>
              <w:jc w:val="center"/>
              <w:textAlignment w:val="auto"/>
              <w:rPr>
                <w:rFonts w:hint="eastAsia" w:ascii="宋体" w:hAnsi="宋体" w:eastAsia="宋体" w:cs="宋体"/>
                <w:color w:val="000000"/>
                <w:sz w:val="24"/>
                <w:szCs w:val="24"/>
              </w:rPr>
            </w:pPr>
          </w:p>
        </w:tc>
      </w:tr>
    </w:tbl>
    <w:p>
      <w:pPr>
        <w:pStyle w:val="2"/>
        <w:pageBreakBefore w:val="0"/>
        <w:kinsoku/>
        <w:wordWrap/>
        <w:overflowPunct/>
        <w:topLinePunct w:val="0"/>
        <w:bidi w:val="0"/>
        <w:snapToGrid/>
        <w:spacing w:line="240" w:lineRule="auto"/>
        <w:textAlignment w:val="auto"/>
        <w:rPr>
          <w:rFonts w:hint="eastAsia" w:ascii="宋体" w:hAnsi="宋体" w:eastAsia="宋体" w:cs="宋体"/>
          <w:sz w:val="24"/>
          <w:szCs w:val="24"/>
        </w:rPr>
      </w:pPr>
      <w:bookmarkStart w:id="12" w:name="_Toc6074"/>
      <w:r>
        <w:rPr>
          <w:rFonts w:hint="eastAsia" w:ascii="宋体" w:hAnsi="宋体" w:eastAsia="宋体" w:cs="宋体"/>
          <w:sz w:val="24"/>
          <w:szCs w:val="24"/>
        </w:rPr>
        <w:t>十</w:t>
      </w:r>
      <w:r>
        <w:rPr>
          <w:rFonts w:hint="eastAsia" w:ascii="宋体" w:hAnsi="宋体" w:eastAsia="宋体" w:cs="宋体"/>
          <w:sz w:val="24"/>
          <w:szCs w:val="24"/>
          <w:lang w:val="en-US" w:eastAsia="zh-Hans"/>
        </w:rPr>
        <w:t>二</w:t>
      </w:r>
      <w:r>
        <w:rPr>
          <w:rFonts w:hint="eastAsia" w:ascii="宋体" w:hAnsi="宋体" w:eastAsia="宋体" w:cs="宋体"/>
          <w:sz w:val="24"/>
          <w:szCs w:val="24"/>
        </w:rPr>
        <w:t>、教学实施</w:t>
      </w:r>
      <w:bookmarkEnd w:id="12"/>
    </w:p>
    <w:p>
      <w:pPr>
        <w:pageBreakBefore w:val="0"/>
        <w:kinsoku/>
        <w:wordWrap/>
        <w:overflowPunct/>
        <w:topLinePunct w:val="0"/>
        <w:bidi w:val="0"/>
        <w:snapToGrid/>
        <w:spacing w:line="240" w:lineRule="auto"/>
        <w:ind w:left="420" w:left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（一）教学要求</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1.公共基础课</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公共基础课的教学要符合教育部有关教育教学的基本要求，按照培养学生基本科学文化素养、服务学生专业学习和终身发展的功能来定位，重在教学方法、教学组织形式的改革，教学手段、教学模式的创新，调动学生学习的积极性，为学生综合素质的提高、职业能力的形成和可持续发展奠定基础。</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2.专业技能课</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专业技能课的教学要体现现代职业教育理念，已具有代表性、规模适当的城市轨道交通运营服务典型工作1任务为载体，以课程知识、能力。素质目标涉及教学项目和任务，按车站站务员、车站值班员的实际工作流程展开教学，贴近城市轨道交通企业生产实际，“教、学、做”相结合，突出技能培养。</w:t>
      </w:r>
    </w:p>
    <w:p>
      <w:pPr>
        <w:pageBreakBefore w:val="0"/>
        <w:kinsoku/>
        <w:wordWrap/>
        <w:overflowPunct/>
        <w:topLinePunct w:val="0"/>
        <w:bidi w:val="0"/>
        <w:snapToGrid/>
        <w:spacing w:line="240" w:lineRule="auto"/>
        <w:ind w:left="420" w:left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（二）教学管理</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教学管理要更新管理观念，改变传统的管理教学方式；要依据本标准的要求制定学校教学实施计划，配备师资、教材、教学资料和实训资源，建立与项目教学、案例教学组织要求相适应的灵活、开放的教学管理方式。制定校内实训课程管理办法，要贯彻落实教育部、财政部颁发的《中等职业学校学生实习管理办法》。在教学实施过程中要将安全管理放在首位，要配备专门的安全指导教师。加强教学过程性质量监控和考核评价，依据专业核心课程标准评价标准体系。</w:t>
      </w:r>
    </w:p>
    <w:p>
      <w:pPr>
        <w:pStyle w:val="2"/>
        <w:pageBreakBefore w:val="0"/>
        <w:kinsoku/>
        <w:wordWrap/>
        <w:overflowPunct/>
        <w:topLinePunct w:val="0"/>
        <w:bidi w:val="0"/>
        <w:snapToGrid/>
        <w:spacing w:line="240" w:lineRule="auto"/>
        <w:textAlignment w:val="auto"/>
        <w:rPr>
          <w:rFonts w:hint="eastAsia" w:ascii="宋体" w:hAnsi="宋体" w:eastAsia="宋体" w:cs="宋体"/>
          <w:sz w:val="24"/>
          <w:szCs w:val="24"/>
        </w:rPr>
      </w:pPr>
      <w:bookmarkStart w:id="13" w:name="_Toc16094"/>
      <w:r>
        <w:rPr>
          <w:rFonts w:hint="eastAsia" w:ascii="宋体" w:hAnsi="宋体" w:eastAsia="宋体" w:cs="宋体"/>
          <w:sz w:val="24"/>
          <w:szCs w:val="24"/>
        </w:rPr>
        <w:t>十</w:t>
      </w:r>
      <w:r>
        <w:rPr>
          <w:rFonts w:hint="eastAsia" w:ascii="宋体" w:hAnsi="宋体" w:eastAsia="宋体" w:cs="宋体"/>
          <w:sz w:val="24"/>
          <w:szCs w:val="24"/>
          <w:lang w:val="en-US" w:eastAsia="zh-Hans"/>
        </w:rPr>
        <w:t>三</w:t>
      </w:r>
      <w:r>
        <w:rPr>
          <w:rFonts w:hint="eastAsia" w:ascii="宋体" w:hAnsi="宋体" w:eastAsia="宋体" w:cs="宋体"/>
          <w:sz w:val="24"/>
          <w:szCs w:val="24"/>
        </w:rPr>
        <w:t>、教学评价</w:t>
      </w:r>
      <w:bookmarkEnd w:id="13"/>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由学校、学生、用人单位三方共同实施教学评价，评价内容包括学生专业综合实践能力、“双证”的获取率和毕业生就业率及就业质量，专兼职教师教学质量，逐步形成校企合作、工学结合人才培养模式下多元化教学质量评价标准体系。</w:t>
      </w:r>
    </w:p>
    <w:p>
      <w:pPr>
        <w:pStyle w:val="2"/>
        <w:pageBreakBefore w:val="0"/>
        <w:kinsoku/>
        <w:wordWrap/>
        <w:overflowPunct/>
        <w:topLinePunct w:val="0"/>
        <w:bidi w:val="0"/>
        <w:snapToGrid/>
        <w:spacing w:line="240" w:lineRule="auto"/>
        <w:textAlignment w:val="auto"/>
        <w:rPr>
          <w:rFonts w:hint="eastAsia" w:ascii="宋体" w:hAnsi="宋体" w:eastAsia="宋体" w:cs="宋体"/>
          <w:sz w:val="24"/>
          <w:szCs w:val="24"/>
        </w:rPr>
      </w:pPr>
      <w:bookmarkStart w:id="14" w:name="_Toc4663"/>
      <w:r>
        <w:rPr>
          <w:rFonts w:hint="eastAsia" w:ascii="宋体" w:hAnsi="宋体" w:eastAsia="宋体" w:cs="宋体"/>
          <w:sz w:val="24"/>
          <w:szCs w:val="24"/>
        </w:rPr>
        <w:t>十</w:t>
      </w:r>
      <w:r>
        <w:rPr>
          <w:rFonts w:hint="eastAsia" w:ascii="宋体" w:hAnsi="宋体" w:eastAsia="宋体" w:cs="宋体"/>
          <w:sz w:val="24"/>
          <w:szCs w:val="24"/>
          <w:lang w:val="en-US" w:eastAsia="zh-Hans"/>
        </w:rPr>
        <w:t>四</w:t>
      </w:r>
      <w:r>
        <w:rPr>
          <w:rFonts w:hint="eastAsia" w:ascii="宋体" w:hAnsi="宋体" w:eastAsia="宋体" w:cs="宋体"/>
          <w:sz w:val="24"/>
          <w:szCs w:val="24"/>
        </w:rPr>
        <w:t>、实训实习环境</w:t>
      </w:r>
      <w:bookmarkEnd w:id="14"/>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本专业应配备校内实训实习室和校外实训基地。</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bCs/>
          <w:color w:val="000000"/>
          <w:sz w:val="24"/>
          <w:szCs w:val="24"/>
        </w:rPr>
        <w:t>1．校内实训实习必须具备钳工实训室、电工操作等实训室、消防技能实训室、自动售检票实训室、安全门与车门实训室、行车实训室等，主要设施设备及数量见下表。</w:t>
      </w:r>
    </w:p>
    <w:tbl>
      <w:tblPr>
        <w:tblStyle w:val="9"/>
        <w:tblW w:w="8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706"/>
        <w:gridCol w:w="3571"/>
        <w:gridCol w:w="2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00" w:type="dxa"/>
            <w:vMerge w:val="restart"/>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序号</w:t>
            </w:r>
          </w:p>
        </w:tc>
        <w:tc>
          <w:tcPr>
            <w:tcW w:w="1706" w:type="dxa"/>
            <w:vMerge w:val="restart"/>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实训室名称</w:t>
            </w:r>
          </w:p>
        </w:tc>
        <w:tc>
          <w:tcPr>
            <w:tcW w:w="6343" w:type="dxa"/>
            <w:gridSpan w:val="2"/>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主要工具和设施设备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名称</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数量（生均台套）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00" w:type="dxa"/>
            <w:vMerge w:val="restart"/>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w:t>
            </w:r>
          </w:p>
        </w:tc>
        <w:tc>
          <w:tcPr>
            <w:tcW w:w="1706" w:type="dxa"/>
            <w:vMerge w:val="restart"/>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钳工实训室</w:t>
            </w: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钳工技能操作台</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钳工工具组合</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台虎钳</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钻床</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攻丝机</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砂轮机</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restart"/>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2</w:t>
            </w:r>
          </w:p>
        </w:tc>
        <w:tc>
          <w:tcPr>
            <w:tcW w:w="1706" w:type="dxa"/>
            <w:vMerge w:val="restart"/>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电工操作实训室</w:t>
            </w: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维修电工技能实训台</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成套电工工具</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指针式万用表</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数字式万用表</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钳形电流表</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兆欧表（2500V）</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兆欧表（1000V）</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restart"/>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3</w:t>
            </w:r>
          </w:p>
        </w:tc>
        <w:tc>
          <w:tcPr>
            <w:tcW w:w="1706" w:type="dxa"/>
            <w:vMerge w:val="restart"/>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消防技能实训室</w:t>
            </w: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二氧化碳灭火器</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干粉灭火器</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消火栓灭火器</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火灾探测器（烟感）</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火灾探测器（温感）</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手动火灾报警按钮</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火灾声光报警器</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手提式消防电话分机</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restart"/>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4</w:t>
            </w:r>
          </w:p>
        </w:tc>
        <w:tc>
          <w:tcPr>
            <w:tcW w:w="1706" w:type="dxa"/>
            <w:vMerge w:val="restart"/>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自动售检票系统实训室</w:t>
            </w: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自动售票机</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自动检票机</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自动查询机</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半自动售票机</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手持式检票机</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车站计算机系统软件</w:t>
            </w:r>
          </w:p>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（票务管理软件）</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restart"/>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5</w:t>
            </w:r>
          </w:p>
        </w:tc>
        <w:tc>
          <w:tcPr>
            <w:tcW w:w="1706" w:type="dxa"/>
            <w:vMerge w:val="restart"/>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安全门与车门实训室</w:t>
            </w: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滑动门系统</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固定门系统</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应急门系统</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端门系统</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中央接口控制盘（PSC）</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站台就地控制盘（PSL）</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安全门控制工作站（配控制系统）</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车门实训系统</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restart"/>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6</w:t>
            </w:r>
          </w:p>
        </w:tc>
        <w:tc>
          <w:tcPr>
            <w:tcW w:w="1706" w:type="dxa"/>
            <w:vMerge w:val="restart"/>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行车实训室</w:t>
            </w: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计算机</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车站语音通话系统</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行车组织软件</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综合监控系统软件</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道岔</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转辙机</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手摇道岔工具及钩锁器</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手信号旗</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1706" w:type="dxa"/>
            <w:vMerge w:val="continue"/>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手信号灯</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lang w:val="en-US" w:eastAsia="zh-CN"/>
              </w:rPr>
            </w:pPr>
            <w:r>
              <w:rPr>
                <w:rFonts w:hint="eastAsia" w:ascii="宋体" w:hAnsi="宋体" w:cs="宋体"/>
                <w:bCs/>
                <w:color w:val="000000"/>
                <w:kern w:val="0"/>
                <w:sz w:val="24"/>
                <w:szCs w:val="24"/>
                <w:lang w:val="en-US" w:eastAsia="zh-CN"/>
              </w:rPr>
              <w:t>7</w:t>
            </w:r>
          </w:p>
        </w:tc>
        <w:tc>
          <w:tcPr>
            <w:tcW w:w="1706"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lang w:eastAsia="zh-CN"/>
              </w:rPr>
            </w:pPr>
            <w:r>
              <w:rPr>
                <w:rFonts w:hint="eastAsia" w:ascii="宋体" w:hAnsi="宋体" w:cs="宋体"/>
                <w:bCs/>
                <w:color w:val="000000"/>
                <w:kern w:val="0"/>
                <w:sz w:val="24"/>
                <w:szCs w:val="24"/>
                <w:lang w:eastAsia="zh-CN"/>
              </w:rPr>
              <w:t>车厢模型实训室</w:t>
            </w: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eastAsia="宋体" w:cs="宋体"/>
                <w:bCs/>
                <w:color w:val="000000"/>
                <w:kern w:val="0"/>
                <w:sz w:val="24"/>
                <w:szCs w:val="24"/>
                <w:lang w:eastAsia="zh-CN"/>
              </w:rPr>
            </w:pPr>
            <w:r>
              <w:rPr>
                <w:rFonts w:hint="eastAsia" w:ascii="宋体" w:hAnsi="宋体" w:cs="宋体"/>
                <w:bCs/>
                <w:color w:val="000000"/>
                <w:kern w:val="0"/>
                <w:sz w:val="24"/>
                <w:szCs w:val="24"/>
                <w:lang w:eastAsia="zh-CN"/>
              </w:rPr>
              <w:t>车厢模型</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default" w:ascii="宋体" w:hAnsi="宋体" w:eastAsia="宋体" w:cs="宋体"/>
                <w:bCs/>
                <w:color w:val="000000"/>
                <w:kern w:val="0"/>
                <w:sz w:val="24"/>
                <w:szCs w:val="24"/>
                <w:lang w:val="en-US" w:eastAsia="zh-CN"/>
              </w:rPr>
            </w:pPr>
            <w:r>
              <w:rPr>
                <w:rFonts w:hint="eastAsia" w:ascii="宋体" w:hAnsi="宋体" w:cs="宋体"/>
                <w:bCs/>
                <w:color w:val="000000"/>
                <w:kern w:val="0"/>
                <w:sz w:val="24"/>
                <w:szCs w:val="24"/>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0" w:type="dxa"/>
            <w:vAlign w:val="center"/>
          </w:tcPr>
          <w:p>
            <w:pPr>
              <w:pageBreakBefore w:val="0"/>
              <w:widowControl/>
              <w:kinsoku/>
              <w:wordWrap/>
              <w:overflowPunct/>
              <w:topLinePunct w:val="0"/>
              <w:bidi w:val="0"/>
              <w:snapToGrid/>
              <w:spacing w:line="240" w:lineRule="auto"/>
              <w:jc w:val="center"/>
              <w:textAlignment w:val="auto"/>
              <w:rPr>
                <w:rFonts w:hint="default" w:ascii="宋体" w:hAnsi="宋体" w:cs="宋体"/>
                <w:bCs/>
                <w:color w:val="000000"/>
                <w:kern w:val="0"/>
                <w:sz w:val="24"/>
                <w:szCs w:val="24"/>
                <w:lang w:val="en-US" w:eastAsia="zh-CN"/>
              </w:rPr>
            </w:pPr>
            <w:r>
              <w:rPr>
                <w:rFonts w:hint="eastAsia" w:ascii="宋体" w:hAnsi="宋体" w:cs="宋体"/>
                <w:bCs/>
                <w:color w:val="000000"/>
                <w:kern w:val="0"/>
                <w:sz w:val="24"/>
                <w:szCs w:val="24"/>
                <w:lang w:val="en-US" w:eastAsia="zh-CN"/>
              </w:rPr>
              <w:t>8</w:t>
            </w:r>
          </w:p>
        </w:tc>
        <w:tc>
          <w:tcPr>
            <w:tcW w:w="1706"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cs="宋体"/>
                <w:bCs/>
                <w:color w:val="000000"/>
                <w:kern w:val="0"/>
                <w:sz w:val="24"/>
                <w:szCs w:val="24"/>
                <w:lang w:eastAsia="zh-CN"/>
              </w:rPr>
            </w:pPr>
            <w:r>
              <w:rPr>
                <w:rFonts w:hint="eastAsia" w:ascii="宋体" w:hAnsi="宋体" w:cs="宋体"/>
                <w:bCs/>
                <w:color w:val="000000"/>
                <w:kern w:val="0"/>
                <w:sz w:val="24"/>
                <w:szCs w:val="24"/>
                <w:lang w:eastAsia="zh-CN"/>
              </w:rPr>
              <w:t>智慧教室</w:t>
            </w:r>
          </w:p>
        </w:tc>
        <w:tc>
          <w:tcPr>
            <w:tcW w:w="3571" w:type="dxa"/>
            <w:vAlign w:val="center"/>
          </w:tcPr>
          <w:p>
            <w:pPr>
              <w:pageBreakBefore w:val="0"/>
              <w:widowControl/>
              <w:kinsoku/>
              <w:wordWrap/>
              <w:overflowPunct/>
              <w:topLinePunct w:val="0"/>
              <w:bidi w:val="0"/>
              <w:snapToGrid/>
              <w:spacing w:line="240" w:lineRule="auto"/>
              <w:jc w:val="center"/>
              <w:textAlignment w:val="auto"/>
              <w:rPr>
                <w:rFonts w:hint="eastAsia" w:ascii="宋体" w:hAnsi="宋体" w:cs="宋体"/>
                <w:bCs/>
                <w:color w:val="000000"/>
                <w:kern w:val="0"/>
                <w:sz w:val="24"/>
                <w:szCs w:val="24"/>
                <w:lang w:eastAsia="zh-CN"/>
              </w:rPr>
            </w:pPr>
            <w:r>
              <w:rPr>
                <w:rFonts w:hint="eastAsia" w:ascii="宋体" w:hAnsi="宋体" w:cs="宋体"/>
                <w:bCs/>
                <w:color w:val="000000"/>
                <w:kern w:val="0"/>
                <w:sz w:val="24"/>
                <w:szCs w:val="24"/>
                <w:lang w:eastAsia="zh-CN"/>
              </w:rPr>
              <w:t>多媒体电脑和平板</w:t>
            </w:r>
          </w:p>
        </w:tc>
        <w:tc>
          <w:tcPr>
            <w:tcW w:w="2772" w:type="dxa"/>
            <w:vAlign w:val="center"/>
          </w:tcPr>
          <w:p>
            <w:pPr>
              <w:pageBreakBefore w:val="0"/>
              <w:widowControl/>
              <w:kinsoku/>
              <w:wordWrap/>
              <w:overflowPunct/>
              <w:topLinePunct w:val="0"/>
              <w:bidi w:val="0"/>
              <w:snapToGrid/>
              <w:spacing w:line="240" w:lineRule="auto"/>
              <w:jc w:val="center"/>
              <w:textAlignment w:val="auto"/>
              <w:rPr>
                <w:rFonts w:hint="default" w:ascii="宋体" w:hAnsi="宋体" w:cs="宋体"/>
                <w:bCs/>
                <w:color w:val="000000"/>
                <w:kern w:val="0"/>
                <w:sz w:val="24"/>
                <w:szCs w:val="24"/>
                <w:lang w:val="en-US" w:eastAsia="zh-CN"/>
              </w:rPr>
            </w:pPr>
            <w:r>
              <w:rPr>
                <w:rFonts w:hint="eastAsia" w:ascii="宋体" w:hAnsi="宋体" w:cs="宋体"/>
                <w:bCs/>
                <w:color w:val="000000"/>
                <w:kern w:val="0"/>
                <w:sz w:val="24"/>
                <w:szCs w:val="24"/>
                <w:lang w:val="en-US" w:eastAsia="zh-CN"/>
              </w:rPr>
              <w:t>1/1</w:t>
            </w:r>
          </w:p>
        </w:tc>
      </w:tr>
    </w:tbl>
    <w:p>
      <w:pPr>
        <w:pStyle w:val="15"/>
        <w:pageBreakBefore w:val="0"/>
        <w:numPr>
          <w:ilvl w:val="0"/>
          <w:numId w:val="1"/>
        </w:numPr>
        <w:kinsoku/>
        <w:wordWrap/>
        <w:overflowPunct/>
        <w:topLinePunct w:val="0"/>
        <w:bidi w:val="0"/>
        <w:snapToGrid/>
        <w:spacing w:line="24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校外实训基地</w:t>
      </w:r>
    </w:p>
    <w:p>
      <w:pPr>
        <w:pStyle w:val="15"/>
        <w:pageBreakBefore w:val="0"/>
        <w:kinsoku/>
        <w:wordWrap/>
        <w:overflowPunct/>
        <w:topLinePunct w:val="0"/>
        <w:bidi w:val="0"/>
        <w:snapToGrid/>
        <w:spacing w:line="24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校外实训基地应满足专业教学要求，具备实训场地，设备配置应能满足理论实践一体化课程的现场教学和实训项目的开展，使学生有机会深入生产一线，了解企业实际，体验企业文化。</w:t>
      </w:r>
    </w:p>
    <w:p>
      <w:pPr>
        <w:pStyle w:val="2"/>
        <w:pageBreakBefore w:val="0"/>
        <w:kinsoku/>
        <w:wordWrap/>
        <w:overflowPunct/>
        <w:topLinePunct w:val="0"/>
        <w:bidi w:val="0"/>
        <w:snapToGrid/>
        <w:spacing w:line="240" w:lineRule="auto"/>
        <w:textAlignment w:val="auto"/>
        <w:rPr>
          <w:rFonts w:hint="eastAsia" w:ascii="宋体" w:hAnsi="宋体" w:eastAsia="宋体" w:cs="宋体"/>
          <w:sz w:val="24"/>
          <w:szCs w:val="24"/>
        </w:rPr>
      </w:pPr>
      <w:bookmarkStart w:id="15" w:name="_Toc24651"/>
      <w:r>
        <w:rPr>
          <w:rFonts w:hint="eastAsia" w:ascii="宋体" w:hAnsi="宋体" w:eastAsia="宋体" w:cs="宋体"/>
          <w:sz w:val="24"/>
          <w:szCs w:val="24"/>
        </w:rPr>
        <w:t>十</w:t>
      </w:r>
      <w:r>
        <w:rPr>
          <w:rFonts w:hint="eastAsia" w:ascii="宋体" w:hAnsi="宋体" w:eastAsia="宋体" w:cs="宋体"/>
          <w:sz w:val="24"/>
          <w:szCs w:val="24"/>
          <w:lang w:val="en-US" w:eastAsia="zh-Hans"/>
        </w:rPr>
        <w:t>五</w:t>
      </w:r>
      <w:r>
        <w:rPr>
          <w:rFonts w:hint="eastAsia" w:ascii="宋体" w:hAnsi="宋体" w:eastAsia="宋体" w:cs="宋体"/>
          <w:sz w:val="24"/>
          <w:szCs w:val="24"/>
        </w:rPr>
        <w:t>、专业师资</w:t>
      </w:r>
      <w:bookmarkEnd w:id="15"/>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教育部颁布的《中等职业学校教师专业标准》和《中等职业学校设置标准》的有关规定，进行教师队伍建设，合理配置教师资源。专业教师学历职称结构应合理，至少应配备具有相关专业中级以上专业技术职务的专任教师2人；建立“双师型”专业教师团队，其中“双师型”教师应不低于30％；应有业务水平较高的专业带头人。</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专任教师应具有中等职业教师资格证书和相关专业资格证书，有良好的师德，对本专业课程有均为全面的了解，熟悉城市轨道交通行业发展动态，有企业工作经验或顶岗实习经历，熟悉城市轨道交通运营企业工作规范和流程，具备专业课程教学改革和实施能力。</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聘请城市交通企业有经验的站务员、车站值班员、值班站长等参与教学活动，所聘人员应具有中级以上职业资格或者中级以上技术职称</w:t>
      </w:r>
    </w:p>
    <w:p>
      <w:pPr>
        <w:pStyle w:val="2"/>
        <w:pageBreakBefore w:val="0"/>
        <w:kinsoku/>
        <w:wordWrap/>
        <w:overflowPunct/>
        <w:topLinePunct w:val="0"/>
        <w:bidi w:val="0"/>
        <w:snapToGrid/>
        <w:spacing w:line="240" w:lineRule="auto"/>
        <w:textAlignment w:val="auto"/>
        <w:rPr>
          <w:rFonts w:hint="eastAsia" w:ascii="宋体" w:hAnsi="宋体" w:eastAsia="宋体" w:cs="宋体"/>
          <w:sz w:val="24"/>
          <w:szCs w:val="24"/>
        </w:rPr>
      </w:pPr>
      <w:bookmarkStart w:id="16" w:name="_Toc30307"/>
      <w:r>
        <w:rPr>
          <w:rFonts w:hint="eastAsia" w:ascii="宋体" w:hAnsi="宋体" w:eastAsia="宋体" w:cs="宋体"/>
          <w:sz w:val="24"/>
          <w:szCs w:val="24"/>
        </w:rPr>
        <w:t>十</w:t>
      </w:r>
      <w:r>
        <w:rPr>
          <w:rFonts w:hint="eastAsia" w:ascii="宋体" w:hAnsi="宋体" w:eastAsia="宋体" w:cs="宋体"/>
          <w:sz w:val="24"/>
          <w:szCs w:val="24"/>
          <w:lang w:val="en-US" w:eastAsia="zh-Hans"/>
        </w:rPr>
        <w:t>六</w:t>
      </w:r>
      <w:r>
        <w:rPr>
          <w:rFonts w:hint="eastAsia" w:ascii="宋体" w:hAnsi="宋体" w:eastAsia="宋体" w:cs="宋体"/>
          <w:sz w:val="24"/>
          <w:szCs w:val="24"/>
        </w:rPr>
        <w:t>、其他</w:t>
      </w:r>
      <w:bookmarkEnd w:id="16"/>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教学的过程中不断探索和完善符合城市轨道交通行业发展要求的教学、考核和管理模式。关于课程项目化教学，一方面要以实际典型工程项目或案例为载体，并注重项目或案例的真实性、实效性和先进性；另一方面要加强与城市轨道交通运营企业结合，进行现场教学、实境教学。</w:t>
      </w:r>
    </w:p>
    <w:p>
      <w:pPr>
        <w:pageBreakBefore w:val="0"/>
        <w:kinsoku/>
        <w:wordWrap/>
        <w:overflowPunct/>
        <w:topLinePunct w:val="0"/>
        <w:bidi w:val="0"/>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鼓励各校开展课程改革，如采用项目教学、理论与实践一体化教学和基于工作过程一体化教学等课程教学模式，可安天或半天开展教学活动，各学校克根据自己实际情况安排。</w:t>
      </w: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pPr>
    </w:p>
    <w:p>
      <w:pPr>
        <w:pageBreakBefore w:val="0"/>
        <w:kinsoku/>
        <w:wordWrap/>
        <w:overflowPunct/>
        <w:topLinePunct w:val="0"/>
        <w:bidi w:val="0"/>
        <w:snapToGrid/>
        <w:spacing w:line="240" w:lineRule="auto"/>
        <w:textAlignment w:val="auto"/>
        <w:rPr>
          <w:rFonts w:hint="eastAsia" w:ascii="宋体" w:hAnsi="宋体" w:eastAsia="宋体" w:cs="宋体"/>
          <w:sz w:val="24"/>
          <w:szCs w:val="24"/>
        </w:rPr>
        <w:sectPr>
          <w:pgSz w:w="11906" w:h="16838"/>
          <w:pgMar w:top="1134" w:right="1134" w:bottom="1134" w:left="1134" w:header="851" w:footer="992" w:gutter="0"/>
          <w:cols w:space="425" w:num="1"/>
          <w:docGrid w:type="lines" w:linePitch="312" w:charSpace="0"/>
        </w:sectPr>
      </w:pPr>
    </w:p>
    <w:p>
      <w:pPr>
        <w:pStyle w:val="2"/>
        <w:pageBreakBefore w:val="0"/>
        <w:numPr>
          <w:ilvl w:val="0"/>
          <w:numId w:val="0"/>
        </w:numPr>
        <w:kinsoku/>
        <w:wordWrap/>
        <w:overflowPunct/>
        <w:topLinePunct w:val="0"/>
        <w:bidi w:val="0"/>
        <w:snapToGrid/>
        <w:spacing w:line="240" w:lineRule="auto"/>
        <w:textAlignment w:val="auto"/>
        <w:rPr>
          <w:rFonts w:hint="eastAsia" w:ascii="宋体" w:hAnsi="宋体" w:eastAsia="宋体" w:cs="宋体"/>
          <w:sz w:val="24"/>
          <w:szCs w:val="24"/>
        </w:rPr>
      </w:pPr>
      <w:bookmarkStart w:id="17" w:name="_Toc26893"/>
      <w:r>
        <w:rPr>
          <w:rFonts w:hint="eastAsia" w:ascii="宋体" w:hAnsi="宋体" w:eastAsia="宋体" w:cs="宋体"/>
          <w:sz w:val="24"/>
          <w:szCs w:val="24"/>
          <w:lang w:val="en-US" w:eastAsia="zh-Hans"/>
        </w:rPr>
        <w:t>十七</w:t>
      </w:r>
      <w:r>
        <w:rPr>
          <w:rFonts w:hint="eastAsia" w:ascii="宋体" w:hAnsi="宋体" w:eastAsia="宋体" w:cs="宋体"/>
          <w:sz w:val="24"/>
          <w:szCs w:val="24"/>
          <w:lang w:eastAsia="zh-Hans"/>
        </w:rPr>
        <w:t>：</w:t>
      </w:r>
      <w:r>
        <w:rPr>
          <w:rFonts w:hint="eastAsia" w:ascii="宋体" w:hAnsi="宋体" w:eastAsia="宋体" w:cs="宋体"/>
          <w:sz w:val="24"/>
          <w:szCs w:val="24"/>
        </w:rPr>
        <w:t>课程地</w:t>
      </w:r>
      <w:bookmarkEnd w:id="17"/>
      <w:r>
        <w:rPr>
          <w:rFonts w:hint="eastAsia" w:ascii="宋体" w:hAnsi="宋体" w:eastAsia="宋体" w:cs="宋体"/>
          <w:sz w:val="24"/>
          <w:szCs w:val="24"/>
        </w:rPr>
        <w:t>图</w:t>
      </w:r>
    </w:p>
    <w:p>
      <w:pPr>
        <w:pStyle w:val="2"/>
        <w:pageBreakBefore w:val="0"/>
        <w:numPr>
          <w:ilvl w:val="0"/>
          <w:numId w:val="0"/>
        </w:numPr>
        <w:kinsoku/>
        <w:wordWrap/>
        <w:overflowPunct/>
        <w:topLinePunct w:val="0"/>
        <w:bidi w:val="0"/>
        <w:snapToGrid/>
        <w:spacing w:line="240" w:lineRule="auto"/>
        <w:jc w:val="center"/>
        <w:textAlignment w:val="auto"/>
        <w:rPr>
          <w:rFonts w:hint="eastAsia" w:ascii="宋体" w:hAnsi="宋体" w:eastAsia="宋体" w:cs="宋体"/>
          <w:sz w:val="24"/>
          <w:szCs w:val="24"/>
        </w:rPr>
      </w:pPr>
    </w:p>
    <w:p>
      <w:pPr>
        <w:pStyle w:val="2"/>
        <w:pageBreakBefore w:val="0"/>
        <w:numPr>
          <w:ilvl w:val="0"/>
          <w:numId w:val="0"/>
        </w:numPr>
        <w:kinsoku/>
        <w:wordWrap/>
        <w:overflowPunct/>
        <w:topLinePunct w:val="0"/>
        <w:bidi w:val="0"/>
        <w:snapToGrid/>
        <w:spacing w:line="240" w:lineRule="auto"/>
        <w:jc w:val="center"/>
        <w:textAlignment w:val="auto"/>
        <w:rPr>
          <w:rFonts w:hint="eastAsia" w:ascii="宋体" w:hAnsi="宋体" w:eastAsia="宋体" w:cs="宋体"/>
          <w:sz w:val="24"/>
          <w:szCs w:val="24"/>
        </w:rPr>
      </w:pPr>
    </w:p>
    <w:p>
      <w:pPr>
        <w:pStyle w:val="2"/>
        <w:pageBreakBefore w:val="0"/>
        <w:numPr>
          <w:ilvl w:val="0"/>
          <w:numId w:val="0"/>
        </w:numPr>
        <w:kinsoku/>
        <w:wordWrap/>
        <w:overflowPunct/>
        <w:topLinePunct w:val="0"/>
        <w:bidi w:val="0"/>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7213600" cy="4205605"/>
            <wp:effectExtent l="0" t="0" r="6350"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rcRect t="5763"/>
                    <a:stretch>
                      <a:fillRect/>
                    </a:stretch>
                  </pic:blipFill>
                  <pic:spPr>
                    <a:xfrm>
                      <a:off x="0" y="0"/>
                      <a:ext cx="7213600" cy="4205605"/>
                    </a:xfrm>
                    <a:prstGeom prst="rect">
                      <a:avLst/>
                    </a:prstGeom>
                    <a:noFill/>
                    <a:ln>
                      <a:noFill/>
                    </a:ln>
                  </pic:spPr>
                </pic:pic>
              </a:graphicData>
            </a:graphic>
          </wp:inline>
        </w:drawing>
      </w:r>
      <w:r>
        <w:rPr>
          <w:rFonts w:hint="eastAsia" w:ascii="宋体" w:hAnsi="宋体" w:eastAsia="宋体" w:cs="宋体"/>
          <w:sz w:val="24"/>
          <w:szCs w:val="24"/>
        </w:rPr>
        <w:br w:type="page"/>
      </w:r>
    </w:p>
    <w:p>
      <w:pPr>
        <w:pageBreakBefore w:val="0"/>
        <w:kinsoku/>
        <w:wordWrap/>
        <w:overflowPunct/>
        <w:topLinePunct w:val="0"/>
        <w:bidi w:val="0"/>
        <w:snapToGrid/>
        <w:spacing w:line="240" w:lineRule="auto"/>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8443595" cy="5140325"/>
            <wp:effectExtent l="0" t="0" r="14605" b="3175"/>
            <wp:docPr id="4" name="图片 4" descr="2a7d51ba9fc5aeb18a2989d90c65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a7d51ba9fc5aeb18a2989d90c651c4"/>
                    <pic:cNvPicPr>
                      <a:picLocks noChangeAspect="1"/>
                    </pic:cNvPicPr>
                  </pic:nvPicPr>
                  <pic:blipFill>
                    <a:blip r:embed="rId11"/>
                    <a:stretch>
                      <a:fillRect/>
                    </a:stretch>
                  </pic:blipFill>
                  <pic:spPr>
                    <a:xfrm>
                      <a:off x="0" y="0"/>
                      <a:ext cx="8443595" cy="5140325"/>
                    </a:xfrm>
                    <a:prstGeom prst="rect">
                      <a:avLst/>
                    </a:prstGeom>
                  </pic:spPr>
                </pic:pic>
              </a:graphicData>
            </a:graphic>
          </wp:inline>
        </w:drawing>
      </w:r>
    </w:p>
    <w:p>
      <w:pPr>
        <w:pageBreakBefore w:val="0"/>
        <w:kinsoku/>
        <w:wordWrap/>
        <w:overflowPunct/>
        <w:topLinePunct w:val="0"/>
        <w:bidi w:val="0"/>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889115" cy="1232535"/>
            <wp:effectExtent l="0" t="0" r="6985" b="57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6889115" cy="1232535"/>
                    </a:xfrm>
                    <a:prstGeom prst="rect">
                      <a:avLst/>
                    </a:prstGeom>
                    <a:noFill/>
                    <a:ln>
                      <a:noFill/>
                    </a:ln>
                  </pic:spPr>
                </pic:pic>
              </a:graphicData>
            </a:graphic>
          </wp:inline>
        </w:drawing>
      </w:r>
    </w:p>
    <w:sectPr>
      <w:pgSz w:w="16838" w:h="11906" w:orient="landscape"/>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书宋简体">
    <w:altName w:val="宋体"/>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rPr>
      <w:t xml:space="preserve">                                                                     </w:t>
    </w:r>
    <w:r>
      <w:rPr>
        <w:rFonts w:hint="eastAsia"/>
        <w:lang w:eastAsia="zh-CN"/>
      </w:rPr>
      <w:t>城市轨道交通运营服务专业</w:t>
    </w:r>
    <w:r>
      <w:rPr>
        <w:rFonts w:hint="eastAsia"/>
      </w:rPr>
      <w:t>人才培养方案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7F06FD"/>
    <w:multiLevelType w:val="multilevel"/>
    <w:tmpl w:val="1F7F06FD"/>
    <w:lvl w:ilvl="0" w:tentative="0">
      <w:start w:val="1"/>
      <w:numFmt w:val="japaneseCounting"/>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E84"/>
    <w:rsid w:val="00077EFA"/>
    <w:rsid w:val="00103CAB"/>
    <w:rsid w:val="001D162B"/>
    <w:rsid w:val="001F165C"/>
    <w:rsid w:val="00202648"/>
    <w:rsid w:val="002456B0"/>
    <w:rsid w:val="002B3D71"/>
    <w:rsid w:val="002C05B7"/>
    <w:rsid w:val="00300222"/>
    <w:rsid w:val="003154AC"/>
    <w:rsid w:val="00370245"/>
    <w:rsid w:val="003C7BF7"/>
    <w:rsid w:val="00427CD4"/>
    <w:rsid w:val="00595325"/>
    <w:rsid w:val="00603AFB"/>
    <w:rsid w:val="006E18C5"/>
    <w:rsid w:val="007B35CA"/>
    <w:rsid w:val="00933EE8"/>
    <w:rsid w:val="00AB236F"/>
    <w:rsid w:val="00AE0F9C"/>
    <w:rsid w:val="00B247C5"/>
    <w:rsid w:val="00CC21A0"/>
    <w:rsid w:val="00D06C19"/>
    <w:rsid w:val="00D06E84"/>
    <w:rsid w:val="00D10049"/>
    <w:rsid w:val="00DB78E8"/>
    <w:rsid w:val="00DD1046"/>
    <w:rsid w:val="046357FD"/>
    <w:rsid w:val="07F15937"/>
    <w:rsid w:val="0E1D154B"/>
    <w:rsid w:val="13397144"/>
    <w:rsid w:val="16C66353"/>
    <w:rsid w:val="19AE7EB9"/>
    <w:rsid w:val="1E0D5B27"/>
    <w:rsid w:val="1EFC40A7"/>
    <w:rsid w:val="21B62AEC"/>
    <w:rsid w:val="21E94747"/>
    <w:rsid w:val="232A1DDD"/>
    <w:rsid w:val="244F2658"/>
    <w:rsid w:val="258D3E5D"/>
    <w:rsid w:val="2B4F19AA"/>
    <w:rsid w:val="378E54EA"/>
    <w:rsid w:val="37B93A43"/>
    <w:rsid w:val="3B88765E"/>
    <w:rsid w:val="4AAB5A7F"/>
    <w:rsid w:val="4CCF3C47"/>
    <w:rsid w:val="4E8A7458"/>
    <w:rsid w:val="4EA01AB4"/>
    <w:rsid w:val="529A03FD"/>
    <w:rsid w:val="55136445"/>
    <w:rsid w:val="554A2258"/>
    <w:rsid w:val="595066AB"/>
    <w:rsid w:val="5B0207A8"/>
    <w:rsid w:val="65733B29"/>
    <w:rsid w:val="6C5B47D7"/>
    <w:rsid w:val="6D7E3F89"/>
    <w:rsid w:val="739A7AF8"/>
    <w:rsid w:val="75BA5049"/>
    <w:rsid w:val="79933A52"/>
    <w:rsid w:val="7AD22CEA"/>
    <w:rsid w:val="7B765270"/>
    <w:rsid w:val="7F393F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spacing w:before="120" w:after="120"/>
      <w:jc w:val="left"/>
      <w:outlineLvl w:val="0"/>
    </w:pPr>
    <w:rPr>
      <w:b/>
      <w:bCs/>
      <w:kern w:val="44"/>
      <w:sz w:val="28"/>
      <w:szCs w:val="21"/>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4">
    <w:name w:val="Balloon Text"/>
    <w:basedOn w:val="1"/>
    <w:link w:val="16"/>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tabs>
        <w:tab w:val="right" w:leader="dot" w:pos="8296"/>
      </w:tabs>
      <w:jc w:val="center"/>
    </w:pPr>
    <w:rPr>
      <w:b/>
      <w:sz w:val="28"/>
    </w:rPr>
  </w:style>
  <w:style w:type="paragraph" w:styleId="8">
    <w:name w:val="toc 2"/>
    <w:basedOn w:val="1"/>
    <w:next w:val="1"/>
    <w:unhideWhenUsed/>
    <w:qFormat/>
    <w:uiPriority w:val="39"/>
    <w:pPr>
      <w:tabs>
        <w:tab w:val="left" w:pos="709"/>
        <w:tab w:val="right" w:leader="dot" w:pos="8296"/>
      </w:tabs>
      <w:ind w:left="420" w:leftChars="200" w:firstLine="4" w:firstLineChars="2"/>
    </w:p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unhideWhenUsed/>
    <w:qFormat/>
    <w:uiPriority w:val="99"/>
    <w:rPr>
      <w:color w:val="0000FF"/>
      <w:u w:val="single"/>
    </w:rPr>
  </w:style>
  <w:style w:type="character" w:customStyle="1" w:styleId="13">
    <w:name w:val="页眉 字符"/>
    <w:basedOn w:val="11"/>
    <w:link w:val="6"/>
    <w:qFormat/>
    <w:uiPriority w:val="99"/>
    <w:rPr>
      <w:sz w:val="18"/>
      <w:szCs w:val="18"/>
    </w:rPr>
  </w:style>
  <w:style w:type="character" w:customStyle="1" w:styleId="14">
    <w:name w:val="页脚 字符"/>
    <w:basedOn w:val="11"/>
    <w:link w:val="5"/>
    <w:qFormat/>
    <w:uiPriority w:val="99"/>
    <w:rPr>
      <w:sz w:val="18"/>
      <w:szCs w:val="18"/>
    </w:rPr>
  </w:style>
  <w:style w:type="paragraph" w:customStyle="1" w:styleId="15">
    <w:name w:val="List Paragraph"/>
    <w:basedOn w:val="1"/>
    <w:qFormat/>
    <w:uiPriority w:val="34"/>
    <w:pPr>
      <w:ind w:firstLine="420" w:firstLineChars="200"/>
    </w:pPr>
    <w:rPr>
      <w:rFonts w:ascii="Calibri" w:hAnsi="Calibri"/>
      <w:szCs w:val="22"/>
    </w:rPr>
  </w:style>
  <w:style w:type="character" w:customStyle="1" w:styleId="16">
    <w:name w:val="批注框文本 字符"/>
    <w:basedOn w:val="11"/>
    <w:link w:val="4"/>
    <w:semiHidden/>
    <w:qFormat/>
    <w:uiPriority w:val="99"/>
    <w:rPr>
      <w:rFonts w:ascii="Times New Roman" w:hAnsi="Times New Roman" w:eastAsia="宋体" w:cs="Times New Roman"/>
      <w:sz w:val="18"/>
      <w:szCs w:val="18"/>
    </w:rPr>
  </w:style>
  <w:style w:type="paragraph" w:customStyle="1" w:styleId="17">
    <w:name w:val="TOC 标题1"/>
    <w:basedOn w:val="2"/>
    <w:next w:val="1"/>
    <w:unhideWhenUsed/>
    <w:qFormat/>
    <w:uiPriority w:val="39"/>
    <w:pPr>
      <w:keepNext/>
      <w:keepLines/>
      <w:widowControl/>
      <w:spacing w:before="480" w:after="0" w:line="276" w:lineRule="auto"/>
      <w:outlineLvl w:val="9"/>
    </w:pPr>
    <w:rPr>
      <w:rFonts w:ascii="Cambria" w:hAnsi="Cambria"/>
      <w:color w:val="366091"/>
      <w:kern w:val="0"/>
      <w:szCs w:val="28"/>
    </w:rPr>
  </w:style>
  <w:style w:type="character" w:customStyle="1" w:styleId="18">
    <w:name w:val="标题 2 字符"/>
    <w:basedOn w:val="11"/>
    <w:link w:val="3"/>
    <w:qFormat/>
    <w:uiPriority w:val="9"/>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ylmfeng.com</Company>
  <Pages>21</Pages>
  <Words>1317</Words>
  <Characters>7511</Characters>
  <Lines>62</Lines>
  <Paragraphs>17</Paragraphs>
  <TotalTime>12</TotalTime>
  <ScaleCrop>false</ScaleCrop>
  <LinksUpToDate>false</LinksUpToDate>
  <CharactersWithSpaces>8811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2019-12-25T20:17:00Z</dcterms:created>
  <dc:creator>Administrator</dc:creator>
  <cp:lastModifiedBy>小夕喝奶昔</cp:lastModifiedBy>
  <dcterms:modified xsi:type="dcterms:W3CDTF">2021-10-10T09:59:45Z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D949EE3B35E741969FEEF55804B5F095</vt:lpwstr>
  </property>
</Properties>
</file>