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numPr>
          <w:ilvl w:val="0"/>
          <w:numId w:val="1"/>
        </w:numPr>
        <w:spacing w:line="360" w:lineRule="auto"/>
        <w:ind w:left="0" w:firstLine="48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培训内容：</w:t>
      </w:r>
    </w:p>
    <w:p>
      <w:pPr>
        <w:pStyle w:val="15"/>
        <w:spacing w:line="360" w:lineRule="auto"/>
        <w:ind w:firstLine="48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1．乙方按照甲方约定的培训课程：</w:t>
      </w:r>
      <w:r>
        <w:rPr>
          <w:rFonts w:ascii="微软雅黑" w:hAnsi="微软雅黑" w:eastAsia="微软雅黑"/>
          <w:u w:val="single"/>
          <w:lang w:eastAsia="zh-CN"/>
        </w:rPr>
        <w:t>《</w:t>
      </w:r>
      <w:r>
        <w:rPr>
          <w:rFonts w:hint="eastAsia" w:ascii="微软雅黑" w:hAnsi="微软雅黑" w:eastAsia="微软雅黑"/>
          <w:u w:val="single"/>
          <w:lang w:eastAsia="zh-CN"/>
        </w:rPr>
        <w:t>世界技能大赛信息网络技术培训》</w:t>
      </w:r>
      <w:r>
        <w:rPr>
          <w:rFonts w:hint="eastAsia" w:ascii="微软雅黑" w:hAnsi="微软雅黑" w:eastAsia="微软雅黑"/>
          <w:lang w:eastAsia="zh-CN"/>
        </w:rPr>
        <w:t>，在课程设置、课程内容、讲课形式（含线上、线下）、时间、地点安排等全部相关内容，通过甲、乙双方通过共同协商共同完成。</w:t>
      </w:r>
    </w:p>
    <w:p>
      <w:pPr>
        <w:widowControl w:val="0"/>
        <w:spacing w:line="360" w:lineRule="auto"/>
        <w:ind w:firstLine="480" w:firstLineChars="200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lang w:val="en-GB" w:eastAsia="zh-CN"/>
        </w:rPr>
        <w:t>2</w:t>
      </w:r>
      <w:r>
        <w:rPr>
          <w:rFonts w:hint="eastAsia" w:ascii="微软雅黑" w:hAnsi="微软雅黑" w:eastAsia="微软雅黑"/>
          <w:lang w:eastAsia="zh-CN"/>
        </w:rPr>
        <w:t>．具体培训内容请参看附件1：课程大纲。</w:t>
      </w:r>
    </w:p>
    <w:p>
      <w:pPr>
        <w:pStyle w:val="15"/>
        <w:widowControl w:val="0"/>
        <w:numPr>
          <w:ilvl w:val="0"/>
          <w:numId w:val="1"/>
        </w:numPr>
        <w:spacing w:line="360" w:lineRule="auto"/>
        <w:ind w:left="0" w:firstLine="480"/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培训讲师及实行条件要求</w:t>
      </w:r>
    </w:p>
    <w:p>
      <w:pPr>
        <w:pStyle w:val="15"/>
        <w:widowControl w:val="0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  <w:lang w:eastAsia="zh-CN"/>
        </w:rPr>
        <w:t>师资资质要求，相关讲师必须有相应的资质证书</w:t>
      </w:r>
    </w:p>
    <w:p>
      <w:pPr>
        <w:ind w:left="900" w:leftChars="375"/>
        <w:rPr>
          <w:lang w:eastAsia="zh-CN"/>
        </w:rPr>
      </w:pPr>
      <w:r>
        <w:rPr>
          <w:lang w:eastAsia="zh-CN"/>
        </w:rPr>
        <w:t>Linux</w:t>
      </w:r>
      <w:r>
        <w:rPr>
          <w:rFonts w:hint="eastAsia"/>
          <w:lang w:eastAsia="zh-CN"/>
        </w:rPr>
        <w:t>系统讲师要求：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红帽原厂讲师认证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红帽系统</w:t>
      </w:r>
      <w:r>
        <w:rPr>
          <w:lang w:eastAsia="zh-CN"/>
        </w:rPr>
        <w:t>RHCA</w:t>
      </w:r>
      <w:r>
        <w:rPr>
          <w:rFonts w:hint="eastAsia"/>
          <w:lang w:eastAsia="zh-CN"/>
        </w:rPr>
        <w:t>架构师认证级别为</w:t>
      </w:r>
      <w:r>
        <w:rPr>
          <w:lang w:eastAsia="zh-CN"/>
        </w:rPr>
        <w:t>XI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红帽云计算</w:t>
      </w:r>
      <w:r>
        <w:rPr>
          <w:lang w:eastAsia="zh-CN"/>
        </w:rPr>
        <w:t>OpenStack</w:t>
      </w:r>
      <w:r>
        <w:rPr>
          <w:rFonts w:hint="eastAsia"/>
          <w:lang w:eastAsia="zh-CN"/>
        </w:rPr>
        <w:t>工程师认证</w:t>
      </w:r>
    </w:p>
    <w:p>
      <w:pPr>
        <w:ind w:left="900" w:leftChars="375"/>
        <w:rPr>
          <w:lang w:eastAsia="zh-CN"/>
        </w:rPr>
      </w:pPr>
    </w:p>
    <w:p>
      <w:pPr>
        <w:ind w:left="900" w:leftChars="375"/>
        <w:rPr>
          <w:lang w:eastAsia="zh-CN"/>
        </w:rPr>
      </w:pPr>
      <w:r>
        <w:rPr>
          <w:lang w:eastAsia="zh-CN"/>
        </w:rPr>
        <w:t>Windows</w:t>
      </w:r>
      <w:r>
        <w:rPr>
          <w:rFonts w:hint="eastAsia"/>
          <w:lang w:eastAsia="zh-CN"/>
        </w:rPr>
        <w:t>系统讲师要求：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微软原厂讲师认证</w:t>
      </w:r>
    </w:p>
    <w:p>
      <w:pPr>
        <w:ind w:left="900" w:leftChars="375"/>
        <w:rPr>
          <w:lang w:eastAsia="zh-CN"/>
        </w:rPr>
      </w:pPr>
      <w:r>
        <w:rPr>
          <w:rFonts w:hint="eastAsia"/>
          <w:lang w:eastAsia="zh-CN"/>
        </w:rPr>
        <w:t>微软认证系统工程师（</w:t>
      </w:r>
      <w:r>
        <w:rPr>
          <w:lang w:eastAsia="zh-CN"/>
        </w:rPr>
        <w:t>MCSE</w:t>
      </w:r>
      <w:r>
        <w:rPr>
          <w:rFonts w:hint="eastAsia"/>
          <w:lang w:eastAsia="zh-CN"/>
        </w:rPr>
        <w:t>）</w:t>
      </w:r>
    </w:p>
    <w:p>
      <w:pPr>
        <w:pStyle w:val="15"/>
        <w:widowControl w:val="0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  <w:lang w:eastAsia="zh-CN"/>
        </w:rPr>
        <w:t>实训条件要求</w:t>
      </w:r>
    </w:p>
    <w:p>
      <w:pPr>
        <w:pStyle w:val="15"/>
        <w:widowControl w:val="0"/>
        <w:spacing w:line="360" w:lineRule="auto"/>
        <w:ind w:left="78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具备公有云实验室，可以同时满足</w:t>
      </w:r>
      <w:r>
        <w:rPr>
          <w:lang w:eastAsia="zh-CN"/>
        </w:rPr>
        <w:t>Windows</w:t>
      </w:r>
      <w:r>
        <w:rPr>
          <w:rFonts w:hint="eastAsia"/>
          <w:lang w:eastAsia="zh-CN"/>
        </w:rPr>
        <w:t>、</w:t>
      </w:r>
      <w:r>
        <w:rPr>
          <w:lang w:eastAsia="zh-CN"/>
        </w:rPr>
        <w:t>Linux</w:t>
      </w:r>
      <w:r>
        <w:rPr>
          <w:rFonts w:hint="eastAsia"/>
          <w:lang w:eastAsia="zh-CN"/>
        </w:rPr>
        <w:t>实验要求。</w:t>
      </w:r>
    </w:p>
    <w:p>
      <w:pPr>
        <w:pStyle w:val="15"/>
        <w:widowControl w:val="0"/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报价密封盖章、相关材料等在有效期内送到嘉庚楼812总务处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或北门门岗（放置时电话联系确定）</w:t>
      </w:r>
      <w:r>
        <w:rPr>
          <w:rFonts w:hint="eastAsia" w:asciiTheme="minorEastAsia" w:hAnsiTheme="minorEastAsia"/>
          <w:sz w:val="28"/>
          <w:szCs w:val="28"/>
        </w:rPr>
        <w:t>，报价有效期至2021年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</w:rPr>
        <w:t>日上午9点</w:t>
      </w:r>
    </w:p>
    <w:p>
      <w:pPr>
        <w:ind w:left="638" w:leftChars="266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报价单位：</w:t>
      </w:r>
    </w:p>
    <w:p>
      <w:pPr>
        <w:ind w:left="638" w:leftChars="266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</w:p>
    <w:p>
      <w:pPr>
        <w:ind w:left="638" w:leftChars="266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联系电话：     </w:t>
      </w:r>
    </w:p>
    <w:p>
      <w:pPr>
        <w:ind w:firstLine="3920" w:firstLineChars="14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集美工业学校总务处</w:t>
      </w:r>
    </w:p>
    <w:p>
      <w:pPr>
        <w:ind w:left="638" w:leftChars="266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联系人：方维钦     7790922  </w:t>
      </w:r>
      <w:bookmarkStart w:id="0" w:name="_GoBack"/>
      <w:bookmarkEnd w:id="0"/>
    </w:p>
    <w:p>
      <w:pPr>
        <w:ind w:firstLine="3080" w:firstLineChars="11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技术联系人：田老师 </w:t>
      </w: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>15359405352</w:t>
      </w:r>
    </w:p>
    <w:p>
      <w:pPr>
        <w:ind w:left="638" w:leftChars="266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2021年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15"/>
        <w:widowControl w:val="0"/>
        <w:spacing w:line="360" w:lineRule="auto"/>
        <w:ind w:firstLine="0" w:firstLineChars="0"/>
        <w:rPr>
          <w:rFonts w:ascii="微软雅黑" w:hAnsi="微软雅黑" w:eastAsia="微软雅黑"/>
          <w:sz w:val="28"/>
          <w:szCs w:val="28"/>
          <w:lang w:eastAsia="zh-CN"/>
        </w:rPr>
      </w:pPr>
    </w:p>
    <w:p>
      <w:pPr>
        <w:rPr>
          <w:rFonts w:ascii="微软雅黑" w:hAnsi="微软雅黑" w:eastAsia="微软雅黑"/>
          <w:b/>
          <w:lang w:eastAsia="zh-CN"/>
        </w:rPr>
      </w:pPr>
      <w:r>
        <w:rPr>
          <w:rFonts w:ascii="微软雅黑" w:hAnsi="微软雅黑" w:eastAsia="微软雅黑"/>
          <w:b/>
          <w:lang w:eastAsia="zh-CN"/>
        </w:rPr>
        <w:br w:type="page"/>
      </w:r>
    </w:p>
    <w:p>
      <w:pPr>
        <w:widowControl w:val="0"/>
        <w:spacing w:line="360" w:lineRule="auto"/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附件1：课程大纲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时间</w:t>
            </w: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Linux课程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第一天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维护基本存储空间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    添加分区、文件系统和持久装载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    管理交换空间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.  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综合实验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管理逻辑卷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    创建逻辑卷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    扩展逻辑卷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.  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综合实验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访问网络附加存储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    使用 NFS 安装网络连接存储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    自动安装网络附加存储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.  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综合实验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openldap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1.  什么是openldap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2.  openldap目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录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务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优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点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3.  openldap适用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场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景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4.  OpenLdap目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录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架构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5.  Openldap常用名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词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介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绍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6.  常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见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的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对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象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类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7.  LDIF文件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8.  LDIF文件特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点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9.  LDIF文件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样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例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0.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综合实验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第二天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Apache 安全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1.  apache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预览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2.  &lt;Directory&gt;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3.  apache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访问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4.  平面文件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验证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5.  管理密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码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6.  kerberos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验证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7.  普通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错误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8.  FollwoSymli&lt;x&gt;nks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选项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9.  indexes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选项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10. 安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装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mod_ssl模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块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11. SSL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虚拟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主机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12. CGI 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13. ExecCGI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选项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14. 使用CGI的UNIX SHELL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脚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本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br w:type="textWrapping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15. suEXEC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6.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综合实验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FTP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服务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1. FTP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协议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2. FTP服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务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3. vsftpd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预览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报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告信息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5. 登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录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信息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6. 本地用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户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7. 用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户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和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组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的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访问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控制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8. 匿名的FTP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9. 匿名的FTP上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传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文件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10. 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连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接限制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11. 主机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访问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限制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12. 其他有用的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选项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3.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综合实验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第三天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squid代理缓存服务详解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1. squid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 xml:space="preserve">的安装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2.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s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quid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的基本配置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3.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在w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ebmin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下配置s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quid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代理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4.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正向代理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5.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 xml:space="preserve">标准正向代理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6.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 xml:space="preserve">透明反向代理 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7.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A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CL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控制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 xml:space="preserve"> 日志分析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负载均衡集群L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实战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的体系结构以及运行模式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的D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R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模式运行原理和实现方式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NAT、FULL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NAT模式与IP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TRNNEL模式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负载调度算法以及生产环境选型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Keepalived中L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配置详解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通过Keepalived搭建L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VS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高可用性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综合实验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第四天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Linux基本网络配置详解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1. NetworkManager简介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2. 使用文本界面nmtui进行网络配置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3. 使用NetworkManager命令行(nmcli)进行网络配置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4. NetworkManger及网络脚本介绍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5. 通过自动化工具批量修改网络配置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Linux安全应用-IPTABLES防火墙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1. 熟悉Linux防火墙的表、链结构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2.解数据包匹配的基本流程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3.学会编写iptables规则 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理解iptables在云平台环境工作原理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第五天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Z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abbix详解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zabbix介绍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zabbix主机监控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zabbix模板介绍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zabbix自定义监控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Postfix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详解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1.Postfix服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务预览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2.Postfix安全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规则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3.Postfix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设计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4./etc/postfix/master.cf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5.接收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件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6.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发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送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件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7.查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  <w:lang w:eastAsia="zh-CN"/>
              </w:rPr>
              <w:t>询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8.postconf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9.基本配置回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顾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10.服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务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安全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11.Postfix的DoS安全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12.DNS黑名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13.反垃圾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邮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件</w:t>
            </w:r>
            <w:r>
              <w:rPr>
                <w:rFonts w:hint="cs" w:ascii="微软雅黑" w:hAnsi="微软雅黑" w:eastAsia="微软雅黑"/>
                <w:color w:val="151515"/>
                <w:sz w:val="20"/>
                <w:szCs w:val="20"/>
              </w:rPr>
              <w:t>设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置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 xml:space="preserve">14.基于SASL和TLS的Postfix 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15.配置SASL和TLS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6.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综合实验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安全加密及CA、证书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进程通信方式IPC和socket介绍及通信加密https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2.SSL/TLS加密传输的开源实现OpenSSL简介</w:t>
            </w:r>
          </w:p>
          <w:p>
            <w:pPr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3.PKI：公钥基础设施相关概念讲解：CA、RA、CRL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4.使用openssl工具的实现文件的对称加密、单向加密、公钥加密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自建CA示例讲解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时间</w:t>
            </w: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Windows课程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第一天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实现活动目录域服务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(AD DS)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活动目录域服务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(AD DS)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域控制器概述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安装域控制器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 .综合实验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br w:type="textWrapping"/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配置组策略的基础架构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组策略概述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实现和管理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GPO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组策略的范围和组策略处理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应用程序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GPO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的故障排除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5.综合实验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第二天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部署和管理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AD CS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1.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部署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</w:rPr>
              <w:t>CA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管理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CA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故障排除和维护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CA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4.综合实验</w:t>
            </w:r>
          </w:p>
          <w:p>
            <w:pPr>
              <w:spacing w:line="360" w:lineRule="auto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Hyper-V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1.安装Hyper-V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2.配置Hyper-V主机服务器上的存储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3.配置Hyper-V主机服务器上的组网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4.配置Hyper-V虚拟机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5.配置Hyper-V网络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6.创建和配置虚拟机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7.为虚拟机启用嵌套虚拟化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8.配置Hyper-V虚拟机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9.管理Hyper-V虚拟机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第三天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实现网络负载平衡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1.NLB群集实现。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2.NLB概述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3.配置NLB群集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4.规划NLB实施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5.实现网络负载平衡（NLB）集群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6.配置和管理NLB群集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7.验证NLB群集的高可用性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ind w:firstLine="120" w:firstLineChars="5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第四天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Hyper-V Server 2016与故障转移群集集成概述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1.在故障转移群集上实现Hyper-V虚拟机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2.集群环境中的VM的主要功能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配置iSCSI存储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为Hyper-V配置故障转移群集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配置高可用性的VM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6.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描述群集环境中的VM的主要功能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第五天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实施企业存储解决方案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1.DAS，NAS和SAN概述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2.比较以太网上的光纤通道，iSCSI和光纤通道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了解iSNS，DCB和MPIO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在Windows Server 2016中配置共享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6.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配置iSCSI存储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7.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配置和管理共享基础设施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8.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</w:rPr>
              <w:t>说明使用iSNS，DCB和MPIO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时间</w:t>
            </w: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网络课程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第一天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VPN原理与实践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"https://edu.51cto.com/center/course/lesson/index?id=324625"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VPN原理-L2L VPN部署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fldChar w:fldCharType="end"/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"https://edu.51cto.com/center/course/lesson/index?id=324618"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L2L VPN拓展（nat-t穿越-动态拨号-Dym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ap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）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GRE Over IPSec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DMVPN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HA VPN-1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HA VPN-2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EZVPN</w:t>
            </w:r>
          </w:p>
          <w:p>
            <w:pPr>
              <w:spacing w:before="100" w:beforeAutospacing="1" w:after="100" w:afterAutospacing="1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SSLVPN</w:t>
            </w: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第二天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BGP详解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BGP的5种消息类型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BGP邻居状态机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使用Peer-Group简化BGP邻居的配置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BGP属性分类详解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BGP中的正则表达式介绍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使用Route Map来处理BGP路由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BGP优化-开启对等体的认证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第三天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企业无线网络配置WLAN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WLAN设备介绍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基本的WLAN组网架构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配置AP上线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WLAN业务配置下发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旁挂二层组网隧道转发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第四天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NGFW 防火墙双机热备业务特性与配置；完成培训后您将能掌握：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理解 OSPF、BGP 协议原理，并掌握基于 VRP 平台下，使用 OSPF、BGP 组建大型网络的方法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理解 IGMP、PIM-SM/DM 协议原理，并掌握使用这些组播协议组建组播网络的方法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理解 VLAN、GVRP、QinQ、STP、RSTP 和 MSTP 的工作原理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掌握应用 STP、RSTP 和 MSTP 避免交换网络环路的方法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掌握应用 VLAN、MuX、Super Vlan 和 QinQ 等技术提供透明隔离的交换网络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了解网络安全的基本知识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了解 Eudemon 系列防火墙的技术原理和功能特征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理解 IP QoS 模型和差分服务（DiffServ）模型及数据分类的基本原则和标志、流量控制和整形、拥塞管理、拥塞避免、链路效率等原理</w:t>
            </w:r>
          </w:p>
        </w:tc>
        <w:tc>
          <w:tcPr>
            <w:tcW w:w="1604" w:type="dxa"/>
          </w:tcPr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第五天</w:t>
            </w:r>
          </w:p>
        </w:tc>
        <w:tc>
          <w:tcPr>
            <w:tcW w:w="5386" w:type="dxa"/>
          </w:tcPr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</w:t>
            </w: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 xml:space="preserve"> 详解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MPLS网络结构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MPLS体系结构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MPLS的标签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MPLS的静态LSP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MPLS的动态LSP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MPLS的转发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MPLS对TTL的处理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MPLS的LDP基本概念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MPLS的LDP工作原理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MPLS的标签过滤机制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BGP/MPLS IP VPN基本概念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地址空间重叠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VPN 实例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RD 和 VPN-IPv4 地址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VPN Target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 VPN 的CE协议的研究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  <w:t>Sham-link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 VPN部署方案</w:t>
            </w:r>
          </w:p>
          <w:p>
            <w:pPr>
              <w:spacing w:line="360" w:lineRule="auto"/>
              <w:outlineLvl w:val="2"/>
              <w:rPr>
                <w:rFonts w:ascii="微软雅黑" w:hAnsi="微软雅黑" w:eastAsia="微软雅黑"/>
                <w:color w:val="151515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51515"/>
                <w:sz w:val="20"/>
                <w:szCs w:val="20"/>
                <w:lang w:eastAsia="zh-CN"/>
              </w:rPr>
              <w:t>MPLS VPN 综合演练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理论</w:t>
            </w:r>
            <w:r>
              <w:rPr>
                <w:rFonts w:hint="eastAsia" w:ascii="微软雅黑" w:hAnsi="微软雅黑" w:eastAsia="微软雅黑"/>
                <w:lang w:eastAsia="zh-CN"/>
              </w:rPr>
              <w:t>+实操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lang w:eastAsia="zh-CN"/>
        </w:rPr>
      </w:pPr>
    </w:p>
    <w:p>
      <w:pPr>
        <w:spacing w:line="360" w:lineRule="auto"/>
        <w:rPr>
          <w:rFonts w:ascii="微软雅黑" w:hAnsi="微软雅黑" w:eastAsia="微软雅黑"/>
          <w:lang w:eastAsia="zh-CN"/>
        </w:rPr>
      </w:pPr>
    </w:p>
    <w:p>
      <w:pPr>
        <w:spacing w:line="360" w:lineRule="auto"/>
        <w:rPr>
          <w:rFonts w:ascii="微软雅黑" w:hAnsi="微软雅黑" w:eastAsia="微软雅黑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0" w:h="16840"/>
      <w:pgMar w:top="1440" w:right="2030" w:bottom="1440" w:left="197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566171203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- 12 -</w:t>
        </w:r>
        <w:r>
          <w:rPr>
            <w:rStyle w:val="9"/>
          </w:rPr>
          <w:fldChar w:fldCharType="end"/>
        </w:r>
      </w:p>
    </w:sdtContent>
  </w:sdt>
  <w:p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685165</wp:posOffset>
              </wp:positionV>
              <wp:extent cx="5309870" cy="9017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0" cy="9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CDD">
                              <a:alpha val="80000"/>
                            </a:srgbClr>
                          </a:gs>
                          <a:gs pos="52000">
                            <a:srgbClr val="6164AE"/>
                          </a:gs>
                          <a:gs pos="100000">
                            <a:srgbClr val="6B59A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3pt;margin-top:53.95pt;height:7.1pt;width:418.1pt;z-index:251659264;v-text-anchor:middle;mso-width-relative:page;mso-height-relative:page;" fillcolor="#009CDD" filled="t" stroked="f" coordsize="21600,21600" o:gfxdata="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zWks1wAAAAoBAAAPAAAAAAAAAAEAIAAAACIAAABkcnMvZG93bnJldi54bWxQSwECFAAUAAAACACH&#10;TuJABlQJI5cCAABDBQAADgAAAAAAAAABACAAAAAmAQAAZHJzL2Uyb0RvYy54bWxQSwUGAAAAAAYA&#10;BgBZAQAALwYAAAAA&#10;">
              <v:fill type="gradient" on="t" color2="#6B59A5" o:opacity2="52428f" colors="0f #009CDD;34079f #6164AE;65536f #6B59A5" angle="90" focus="100%" focussize="0,0" rotate="t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955718540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Theme="minorEastAsia" w:hAnsiTheme="minorEastAsia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-530225</wp:posOffset>
              </wp:positionV>
              <wp:extent cx="5309870" cy="901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0" cy="9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CDD">
                              <a:alpha val="80000"/>
                            </a:srgbClr>
                          </a:gs>
                          <a:gs pos="52000">
                            <a:srgbClr val="6164AE"/>
                          </a:gs>
                          <a:gs pos="100000">
                            <a:srgbClr val="6B59A5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95pt;margin-top:-41.75pt;height:7.1pt;width:418.1pt;z-index:251660288;v-text-anchor:middle;mso-width-relative:page;mso-height-relative:page;" fillcolor="#009CDD" filled="t" stroked="f" coordsize="21600,21600" o:gfxdata="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LM3WrbAAAACgEAAA8AAAAAAAAAAQAgAAAAIgAAAGRycy9kb3ducmV2LnhtbFBLAQIUABQA&#10;AAAIAIdO4kAkvsqVmAIAAEMFAAAOAAAAAAAAAAEAIAAAACoBAABkcnMvZTJvRG9jLnhtbFBLBQYA&#10;AAAABgAGAFkBAAA0BgAAAAA=&#10;">
              <v:fill type="gradient" on="t" color2="#6B59A5" o:opacity2="52428f" colors="0f #009CDD;34079f #6164AE;65536f #6B59A5" angle="90" focus="100%" focussize="0,0" rotate="t"/>
              <v:stroke on="f" weight="1pt" miterlimit="8" joinstyle="miter"/>
              <v:imagedata o:title=""/>
              <o:lock v:ext="edit" aspectratio="f"/>
              <v:textbox inset="2.5mm,1.27mm,2.54mm,1.27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DFE"/>
    <w:multiLevelType w:val="multilevel"/>
    <w:tmpl w:val="51266D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2830F4"/>
    <w:multiLevelType w:val="multilevel"/>
    <w:tmpl w:val="552830F4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1A2627"/>
    <w:multiLevelType w:val="multilevel"/>
    <w:tmpl w:val="7D1A262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8A"/>
    <w:rsid w:val="00014BDC"/>
    <w:rsid w:val="000152E4"/>
    <w:rsid w:val="0007677C"/>
    <w:rsid w:val="000915C8"/>
    <w:rsid w:val="000E620A"/>
    <w:rsid w:val="001C57FE"/>
    <w:rsid w:val="00213492"/>
    <w:rsid w:val="0022117B"/>
    <w:rsid w:val="002511A9"/>
    <w:rsid w:val="002D6D65"/>
    <w:rsid w:val="002D7955"/>
    <w:rsid w:val="002F106F"/>
    <w:rsid w:val="002F7608"/>
    <w:rsid w:val="003039C1"/>
    <w:rsid w:val="003312CD"/>
    <w:rsid w:val="00340ACD"/>
    <w:rsid w:val="00351570"/>
    <w:rsid w:val="00387E82"/>
    <w:rsid w:val="0039173D"/>
    <w:rsid w:val="00397778"/>
    <w:rsid w:val="003B20F5"/>
    <w:rsid w:val="004321F6"/>
    <w:rsid w:val="004A44DF"/>
    <w:rsid w:val="004D6313"/>
    <w:rsid w:val="0053483B"/>
    <w:rsid w:val="00546019"/>
    <w:rsid w:val="00593202"/>
    <w:rsid w:val="005A35DA"/>
    <w:rsid w:val="00643B79"/>
    <w:rsid w:val="00661A48"/>
    <w:rsid w:val="006960F9"/>
    <w:rsid w:val="006D7B7F"/>
    <w:rsid w:val="006F576B"/>
    <w:rsid w:val="007227B3"/>
    <w:rsid w:val="007D4340"/>
    <w:rsid w:val="007E4B05"/>
    <w:rsid w:val="007F0F1D"/>
    <w:rsid w:val="00826276"/>
    <w:rsid w:val="0083288A"/>
    <w:rsid w:val="0083657B"/>
    <w:rsid w:val="00856189"/>
    <w:rsid w:val="008F3401"/>
    <w:rsid w:val="009720C2"/>
    <w:rsid w:val="009803A9"/>
    <w:rsid w:val="009B3040"/>
    <w:rsid w:val="009C20F6"/>
    <w:rsid w:val="009C5BEC"/>
    <w:rsid w:val="009D66D7"/>
    <w:rsid w:val="00A008CD"/>
    <w:rsid w:val="00A31E49"/>
    <w:rsid w:val="00A56898"/>
    <w:rsid w:val="00A86CFC"/>
    <w:rsid w:val="00AD2B40"/>
    <w:rsid w:val="00B307F4"/>
    <w:rsid w:val="00B32F7C"/>
    <w:rsid w:val="00B410BC"/>
    <w:rsid w:val="00B521CD"/>
    <w:rsid w:val="00B963A8"/>
    <w:rsid w:val="00BA7CDA"/>
    <w:rsid w:val="00BB2D00"/>
    <w:rsid w:val="00BB6C68"/>
    <w:rsid w:val="00BC7DDB"/>
    <w:rsid w:val="00BE43A0"/>
    <w:rsid w:val="00C00525"/>
    <w:rsid w:val="00C03E21"/>
    <w:rsid w:val="00C12213"/>
    <w:rsid w:val="00C46B4F"/>
    <w:rsid w:val="00C72169"/>
    <w:rsid w:val="00CA6B65"/>
    <w:rsid w:val="00D0332F"/>
    <w:rsid w:val="00D06BEF"/>
    <w:rsid w:val="00D4148E"/>
    <w:rsid w:val="00DA6D20"/>
    <w:rsid w:val="00DB4CA1"/>
    <w:rsid w:val="00DB5F0E"/>
    <w:rsid w:val="00DC6E7C"/>
    <w:rsid w:val="00DD7125"/>
    <w:rsid w:val="00E42922"/>
    <w:rsid w:val="00E45E5F"/>
    <w:rsid w:val="00E52BD3"/>
    <w:rsid w:val="00F66C03"/>
    <w:rsid w:val="00F81152"/>
    <w:rsid w:val="32CC46BE"/>
    <w:rsid w:val="50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uiPriority w:val="99"/>
    <w:rPr>
      <w:color w:val="0066CC"/>
      <w:u w:val="none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uiPriority w:val="99"/>
    <w:rPr>
      <w:rFonts w:ascii="宋体" w:eastAsia="宋体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ourse-title"/>
    <w:basedOn w:val="8"/>
    <w:qFormat/>
    <w:uiPriority w:val="0"/>
  </w:style>
  <w:style w:type="paragraph" w:customStyle="1" w:styleId="17">
    <w:name w:val="mylesson-title"/>
    <w:basedOn w:val="1"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18">
    <w:name w:val="time"/>
    <w:basedOn w:val="8"/>
    <w:qFormat/>
    <w:uiPriority w:val="0"/>
  </w:style>
  <w:style w:type="character" w:customStyle="1" w:styleId="19">
    <w:name w:val="desc-box"/>
    <w:basedOn w:val="8"/>
    <w:uiPriority w:val="0"/>
  </w:style>
  <w:style w:type="character" w:customStyle="1" w:styleId="20">
    <w:name w:val="look"/>
    <w:basedOn w:val="8"/>
    <w:qFormat/>
    <w:uiPriority w:val="0"/>
  </w:style>
  <w:style w:type="character" w:customStyle="1" w:styleId="21">
    <w:name w:val="dropdown"/>
    <w:basedOn w:val="8"/>
    <w:uiPriority w:val="0"/>
    <w:rPr>
      <w:bdr w:val="none" w:color="auto" w:sz="0" w:space="0"/>
    </w:rPr>
  </w:style>
  <w:style w:type="character" w:customStyle="1" w:styleId="22">
    <w:name w:val="dropdown1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FD0C8-5514-4203-A42B-323601EF4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598</Words>
  <Characters>3410</Characters>
  <Lines>28</Lines>
  <Paragraphs>7</Paragraphs>
  <TotalTime>4</TotalTime>
  <ScaleCrop>false</ScaleCrop>
  <LinksUpToDate>false</LinksUpToDate>
  <CharactersWithSpaces>4001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2021-03-21T09:32:00Z</dcterms:created>
  <dc:creator>cloudshelledu</dc:creator>
  <cp:lastModifiedBy>方维钦</cp:lastModifiedBy>
  <cp:lastPrinted>2020-10-12T14:42:00Z</cp:lastPrinted>
  <dcterms:modified xsi:type="dcterms:W3CDTF">2021-03-25T02:32:03Z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A3A9EF6E97E14A82BF7F36DECBF9C0D4</vt:lpwstr>
  </property>
</Properties>
</file>